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B4B4A52" w14:textId="43DF15C9" w:rsidR="00AB1277" w:rsidRDefault="0075459E" w:rsidP="00442AB4">
      <w:pPr>
        <w:rPr>
          <w:rFonts w:ascii="Merriweather" w:hAnsi="Merriweather"/>
          <w:b/>
          <w:color w:val="BF9E4F"/>
          <w:sz w:val="44"/>
          <w:szCs w:val="44"/>
        </w:rPr>
      </w:pPr>
      <w:r>
        <w:rPr>
          <w:rFonts w:ascii="Merriweather" w:hAnsi="Merriweather"/>
          <w:b/>
          <w:color w:val="BF9E4F"/>
          <w:sz w:val="44"/>
          <w:szCs w:val="44"/>
        </w:rPr>
        <w:t>“</w:t>
      </w:r>
      <w:r w:rsidR="008A5814">
        <w:rPr>
          <w:rFonts w:ascii="Merriweather" w:hAnsi="Merriweather"/>
          <w:b/>
          <w:color w:val="BF9E4F"/>
          <w:sz w:val="44"/>
          <w:szCs w:val="44"/>
        </w:rPr>
        <w:t>Whistleblowing</w:t>
      </w:r>
      <w:r>
        <w:rPr>
          <w:rFonts w:ascii="Merriweather" w:hAnsi="Merriweather"/>
          <w:b/>
          <w:color w:val="BF9E4F"/>
          <w:sz w:val="44"/>
          <w:szCs w:val="44"/>
        </w:rPr>
        <w:t xml:space="preserve">” </w:t>
      </w:r>
      <w:r w:rsidR="00AC2190">
        <w:rPr>
          <w:rFonts w:ascii="Merriweather" w:hAnsi="Merriweather"/>
          <w:b/>
          <w:color w:val="BF9E4F"/>
          <w:sz w:val="44"/>
          <w:szCs w:val="44"/>
        </w:rPr>
        <w:t>Policy</w:t>
      </w:r>
      <w:r>
        <w:rPr>
          <w:rFonts w:ascii="Merriweather" w:hAnsi="Merriweather"/>
          <w:b/>
          <w:color w:val="BF9E4F"/>
          <w:sz w:val="44"/>
          <w:szCs w:val="44"/>
        </w:rPr>
        <w:t xml:space="preserve"> (Making a Disclosure in the Public Interest)</w:t>
      </w:r>
    </w:p>
    <w:p w14:paraId="208E608B" w14:textId="77777777" w:rsidR="00130056" w:rsidRPr="00130056" w:rsidRDefault="00130056" w:rsidP="00130056">
      <w:pPr>
        <w:pStyle w:val="paragraph"/>
        <w:spacing w:before="0" w:beforeAutospacing="0" w:after="0" w:afterAutospacing="0"/>
        <w:textAlignment w:val="baseline"/>
        <w:rPr>
          <w:rFonts w:ascii="Open Sans" w:hAnsi="Open Sans" w:cs="Open Sans"/>
          <w:color w:val="000000" w:themeColor="text1"/>
        </w:rPr>
      </w:pPr>
      <w:r w:rsidRPr="0075459E">
        <w:rPr>
          <w:rStyle w:val="normaltextrun"/>
          <w:rFonts w:ascii="Open Sans" w:eastAsiaTheme="majorEastAsia" w:hAnsi="Open Sans" w:cs="Open Sans"/>
          <w:b/>
          <w:bCs/>
          <w:color w:val="002060"/>
          <w:lang w:val="en-GB"/>
        </w:rPr>
        <w:t>Introduction</w:t>
      </w:r>
      <w:r w:rsidRPr="00130056">
        <w:rPr>
          <w:rStyle w:val="eop"/>
          <w:rFonts w:ascii="Open Sans" w:eastAsiaTheme="majorEastAsia" w:hAnsi="Open Sans" w:cs="Open Sans"/>
          <w:color w:val="000000" w:themeColor="text1"/>
        </w:rPr>
        <w:t> </w:t>
      </w:r>
    </w:p>
    <w:p w14:paraId="111A832D" w14:textId="4F446616" w:rsidR="00130056" w:rsidRPr="00130056" w:rsidRDefault="0075459E" w:rsidP="00130056">
      <w:pPr>
        <w:pStyle w:val="paragraph"/>
        <w:spacing w:before="0" w:beforeAutospacing="0" w:after="0" w:afterAutospacing="0"/>
        <w:jc w:val="both"/>
        <w:textAlignment w:val="baseline"/>
        <w:rPr>
          <w:rStyle w:val="normaltextrun"/>
          <w:rFonts w:ascii="Open Sans" w:eastAsiaTheme="majorEastAsia" w:hAnsi="Open Sans" w:cs="Open Sans"/>
          <w:color w:val="002060"/>
          <w:sz w:val="22"/>
          <w:szCs w:val="22"/>
          <w:lang w:val="en-GB"/>
        </w:rPr>
      </w:pPr>
      <w:r>
        <w:rPr>
          <w:rStyle w:val="normaltextrun"/>
          <w:rFonts w:ascii="Open Sans" w:eastAsiaTheme="majorEastAsia" w:hAnsi="Open Sans" w:cs="Open Sans"/>
          <w:color w:val="002060"/>
          <w:sz w:val="22"/>
          <w:szCs w:val="22"/>
          <w:lang w:val="en-GB"/>
        </w:rPr>
        <w:t xml:space="preserve">Sapphire Education is </w:t>
      </w:r>
      <w:r w:rsidR="00130056" w:rsidRPr="00130056">
        <w:rPr>
          <w:rStyle w:val="normaltextrun"/>
          <w:rFonts w:ascii="Open Sans" w:eastAsiaTheme="majorEastAsia" w:hAnsi="Open Sans" w:cs="Open Sans"/>
          <w:color w:val="002060"/>
          <w:sz w:val="22"/>
          <w:szCs w:val="22"/>
          <w:lang w:val="en-GB"/>
        </w:rPr>
        <w:t xml:space="preserve">committed to the highest standards of openness, honesty and accountability. </w:t>
      </w:r>
      <w:r w:rsidR="00130056" w:rsidRPr="00130056">
        <w:rPr>
          <w:rStyle w:val="scxw147392311"/>
          <w:rFonts w:ascii="Open Sans" w:eastAsiaTheme="majorEastAsia" w:hAnsi="Open Sans" w:cs="Open Sans"/>
          <w:color w:val="002060"/>
          <w:sz w:val="22"/>
          <w:szCs w:val="22"/>
        </w:rPr>
        <w:t> </w:t>
      </w:r>
      <w:r w:rsidR="00130056" w:rsidRPr="00130056">
        <w:rPr>
          <w:rFonts w:ascii="Open Sans" w:hAnsi="Open Sans" w:cs="Open Sans"/>
          <w:color w:val="002060"/>
          <w:sz w:val="22"/>
          <w:szCs w:val="22"/>
        </w:rPr>
        <w:br/>
      </w:r>
      <w:r w:rsidR="00130056" w:rsidRPr="00130056">
        <w:rPr>
          <w:rStyle w:val="scxw147392311"/>
          <w:rFonts w:ascii="Open Sans" w:eastAsiaTheme="majorEastAsia" w:hAnsi="Open Sans" w:cs="Open Sans"/>
          <w:color w:val="002060"/>
          <w:sz w:val="22"/>
          <w:szCs w:val="22"/>
        </w:rPr>
        <w:t> </w:t>
      </w:r>
      <w:r w:rsidR="00130056" w:rsidRPr="00130056">
        <w:rPr>
          <w:rFonts w:ascii="Open Sans" w:hAnsi="Open Sans" w:cs="Open Sans"/>
          <w:color w:val="002060"/>
          <w:sz w:val="22"/>
          <w:szCs w:val="22"/>
        </w:rPr>
        <w:br/>
      </w:r>
      <w:r w:rsidR="00130056" w:rsidRPr="00130056">
        <w:rPr>
          <w:rStyle w:val="normaltextrun"/>
          <w:rFonts w:ascii="Open Sans" w:eastAsiaTheme="majorEastAsia" w:hAnsi="Open Sans" w:cs="Open Sans"/>
          <w:color w:val="002060"/>
          <w:sz w:val="22"/>
          <w:szCs w:val="22"/>
          <w:lang w:val="en-GB"/>
        </w:rPr>
        <w:t xml:space="preserve">An important aspect of accountability and transparency is a mechanism to enable staff and other members of the Company to voice concerns in a responsible and effective manner. </w:t>
      </w:r>
    </w:p>
    <w:p w14:paraId="4126FE2F" w14:textId="77777777" w:rsidR="00130056" w:rsidRPr="00130056" w:rsidRDefault="00130056" w:rsidP="00130056">
      <w:pPr>
        <w:pStyle w:val="paragraph"/>
        <w:spacing w:before="0" w:beforeAutospacing="0" w:after="0" w:afterAutospacing="0"/>
        <w:jc w:val="both"/>
        <w:textAlignment w:val="baseline"/>
        <w:rPr>
          <w:rStyle w:val="normaltextrun"/>
          <w:rFonts w:ascii="Open Sans" w:eastAsiaTheme="majorEastAsia" w:hAnsi="Open Sans" w:cs="Open Sans"/>
          <w:color w:val="002060"/>
          <w:sz w:val="22"/>
          <w:szCs w:val="22"/>
          <w:lang w:val="en-GB"/>
        </w:rPr>
      </w:pPr>
    </w:p>
    <w:p w14:paraId="0FF22AB1" w14:textId="77777777" w:rsidR="00130056" w:rsidRPr="00130056" w:rsidRDefault="00130056" w:rsidP="00130056">
      <w:pPr>
        <w:pStyle w:val="paragraph"/>
        <w:spacing w:before="0" w:beforeAutospacing="0" w:after="0" w:afterAutospacing="0"/>
        <w:jc w:val="both"/>
        <w:textAlignment w:val="baseline"/>
        <w:rPr>
          <w:rStyle w:val="eop"/>
          <w:rFonts w:ascii="Open Sans" w:eastAsiaTheme="majorEastAsia" w:hAnsi="Open Sans" w:cs="Open Sans"/>
          <w:color w:val="002060"/>
          <w:sz w:val="22"/>
          <w:szCs w:val="22"/>
        </w:rPr>
      </w:pPr>
      <w:r w:rsidRPr="00130056">
        <w:rPr>
          <w:rStyle w:val="normaltextrun"/>
          <w:rFonts w:ascii="Open Sans" w:eastAsiaTheme="majorEastAsia" w:hAnsi="Open Sans" w:cs="Open Sans"/>
          <w:color w:val="002060"/>
          <w:sz w:val="22"/>
          <w:szCs w:val="22"/>
          <w:lang w:val="en-GB"/>
        </w:rPr>
        <w:t>It should be emphasised that this policy is intended to assist individuals who believe they have discovered malpractice or wrongdoing. It is not designed to question financial, or business decisions taken by the Company, nor should it be used to reconsider any matters which have already been addressed under harassment, complaint, disciplinary or other procedures. </w:t>
      </w:r>
      <w:r w:rsidRPr="00130056">
        <w:rPr>
          <w:rStyle w:val="eop"/>
          <w:rFonts w:ascii="Open Sans" w:eastAsiaTheme="majorEastAsia" w:hAnsi="Open Sans" w:cs="Open Sans"/>
          <w:color w:val="002060"/>
          <w:sz w:val="22"/>
          <w:szCs w:val="22"/>
        </w:rPr>
        <w:t> </w:t>
      </w:r>
    </w:p>
    <w:p w14:paraId="585C8511" w14:textId="77777777" w:rsidR="00130056" w:rsidRPr="00B0162C" w:rsidRDefault="00130056" w:rsidP="00130056">
      <w:pPr>
        <w:pStyle w:val="paragraph"/>
        <w:jc w:val="both"/>
        <w:textAlignment w:val="baseline"/>
        <w:rPr>
          <w:rFonts w:ascii="Open Sans" w:eastAsiaTheme="majorEastAsia" w:hAnsi="Open Sans" w:cs="Open Sans"/>
          <w:b/>
          <w:bCs/>
          <w:color w:val="002060"/>
        </w:rPr>
      </w:pPr>
      <w:r w:rsidRPr="00B0162C">
        <w:rPr>
          <w:rFonts w:ascii="Open Sans" w:eastAsiaTheme="majorEastAsia" w:hAnsi="Open Sans" w:cs="Open Sans"/>
          <w:b/>
          <w:bCs/>
          <w:color w:val="002060"/>
        </w:rPr>
        <w:t>What is a whistleblower</w:t>
      </w:r>
    </w:p>
    <w:p w14:paraId="7069C2ED"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You’re a whistleblower if you work here and you speak up about serious wrongdoing. Most of the time, this will be something you’ve noticed at work — but not always.</w:t>
      </w:r>
    </w:p>
    <w:p w14:paraId="2467F190"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Speaking up like this is called making a ‘whistleblowing disclosure’ or a ‘protected disclosure’.</w:t>
      </w:r>
    </w:p>
    <w:p w14:paraId="42AAF7B4"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For it to count as whistleblowing, the issue needs to be in the public interest. This means it must affect other people — not just you — such as colleagues, students, or the wider community.</w:t>
      </w:r>
    </w:p>
    <w:p w14:paraId="33ED9ECA" w14:textId="77777777" w:rsidR="00130056" w:rsidRPr="00B0162C" w:rsidRDefault="00130056" w:rsidP="00130056">
      <w:pPr>
        <w:pStyle w:val="paragraph"/>
        <w:spacing w:after="0"/>
        <w:jc w:val="both"/>
        <w:textAlignment w:val="baseline"/>
        <w:rPr>
          <w:rFonts w:ascii="Open Sans" w:eastAsiaTheme="majorEastAsia" w:hAnsi="Open Sans" w:cs="Open Sans"/>
          <w:b/>
          <w:bCs/>
          <w:color w:val="002060"/>
        </w:rPr>
      </w:pPr>
      <w:r w:rsidRPr="00B0162C">
        <w:rPr>
          <w:rFonts w:ascii="Open Sans" w:eastAsiaTheme="majorEastAsia" w:hAnsi="Open Sans" w:cs="Open Sans"/>
          <w:b/>
          <w:bCs/>
          <w:color w:val="002060"/>
        </w:rPr>
        <w:t>Complaints that count as whistleblowing</w:t>
      </w:r>
    </w:p>
    <w:p w14:paraId="3DF18286"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You’re protected by law if you report any of the following:</w:t>
      </w:r>
    </w:p>
    <w:p w14:paraId="75293208"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a criminal offence, for example fraud, financial malpractice</w:t>
      </w:r>
    </w:p>
    <w:p w14:paraId="48715790"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 xml:space="preserve">someone’s health and safety </w:t>
      </w:r>
      <w:proofErr w:type="gramStart"/>
      <w:r w:rsidRPr="00130056">
        <w:rPr>
          <w:rFonts w:ascii="Open Sans" w:eastAsiaTheme="majorEastAsia" w:hAnsi="Open Sans" w:cs="Open Sans"/>
          <w:color w:val="002060"/>
          <w:sz w:val="22"/>
          <w:szCs w:val="22"/>
        </w:rPr>
        <w:t>is</w:t>
      </w:r>
      <w:proofErr w:type="gramEnd"/>
      <w:r w:rsidRPr="00130056">
        <w:rPr>
          <w:rFonts w:ascii="Open Sans" w:eastAsiaTheme="majorEastAsia" w:hAnsi="Open Sans" w:cs="Open Sans"/>
          <w:color w:val="002060"/>
          <w:sz w:val="22"/>
          <w:szCs w:val="22"/>
        </w:rPr>
        <w:t xml:space="preserve"> in danger</w:t>
      </w:r>
    </w:p>
    <w:p w14:paraId="3F39167D"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risk or actual damage to the environment</w:t>
      </w:r>
    </w:p>
    <w:p w14:paraId="0C2097D3"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a miscarriage of justice</w:t>
      </w:r>
    </w:p>
    <w:p w14:paraId="596D2808"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lastRenderedPageBreak/>
        <w:t>criminal activity</w:t>
      </w:r>
    </w:p>
    <w:p w14:paraId="4BA5A574"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the company is breaking the law, for example does not have the right insurance</w:t>
      </w:r>
    </w:p>
    <w:p w14:paraId="2CC93838"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you believe someone is covering up wrongdoing</w:t>
      </w:r>
    </w:p>
    <w:p w14:paraId="3E7E9775" w14:textId="77777777" w:rsidR="00130056" w:rsidRPr="00130056" w:rsidRDefault="00130056">
      <w:pPr>
        <w:pStyle w:val="paragraph"/>
        <w:numPr>
          <w:ilvl w:val="0"/>
          <w:numId w:val="1"/>
        </w:numPr>
        <w:spacing w:after="0"/>
        <w:jc w:val="both"/>
        <w:textAlignment w:val="baseline"/>
        <w:rPr>
          <w:rFonts w:ascii="Open Sans" w:eastAsiaTheme="majorEastAsia" w:hAnsi="Open Sans" w:cs="Open Sans"/>
          <w:color w:val="002060"/>
          <w:sz w:val="22"/>
          <w:szCs w:val="22"/>
        </w:rPr>
      </w:pPr>
      <w:r w:rsidRPr="00130056">
        <w:rPr>
          <w:rStyle w:val="normaltextrun"/>
          <w:rFonts w:ascii="Open Sans" w:eastAsiaTheme="majorEastAsia" w:hAnsi="Open Sans" w:cs="Open Sans"/>
          <w:color w:val="002060"/>
          <w:sz w:val="22"/>
          <w:szCs w:val="22"/>
          <w:lang w:val="en-GB"/>
        </w:rPr>
        <w:t>The physical, emotional or sexual abuse of students/staff</w:t>
      </w:r>
      <w:r w:rsidRPr="00130056">
        <w:rPr>
          <w:rStyle w:val="eop"/>
          <w:rFonts w:ascii="Open Sans" w:eastAsiaTheme="majorEastAsia" w:hAnsi="Open Sans" w:cs="Open Sans"/>
          <w:color w:val="002060"/>
          <w:sz w:val="22"/>
          <w:szCs w:val="22"/>
        </w:rPr>
        <w:t> </w:t>
      </w:r>
    </w:p>
    <w:p w14:paraId="1985388D" w14:textId="77777777" w:rsidR="00130056" w:rsidRPr="00B0162C" w:rsidRDefault="00130056" w:rsidP="00130056">
      <w:pPr>
        <w:pStyle w:val="paragraph"/>
        <w:spacing w:after="0"/>
        <w:jc w:val="both"/>
        <w:textAlignment w:val="baseline"/>
        <w:rPr>
          <w:rFonts w:ascii="Open Sans" w:eastAsiaTheme="majorEastAsia" w:hAnsi="Open Sans" w:cs="Open Sans"/>
          <w:b/>
          <w:bCs/>
          <w:color w:val="002060"/>
        </w:rPr>
      </w:pPr>
      <w:r w:rsidRPr="00B0162C">
        <w:rPr>
          <w:rFonts w:ascii="Open Sans" w:eastAsiaTheme="majorEastAsia" w:hAnsi="Open Sans" w:cs="Open Sans"/>
          <w:b/>
          <w:bCs/>
          <w:color w:val="002060"/>
        </w:rPr>
        <w:t>Complaints that do not count as whistleblowing</w:t>
      </w:r>
    </w:p>
    <w:p w14:paraId="26D732EB"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Personal issues — like bullying, harassment or discrimination — are not covered by whistleblowing law unless the situation affects other people and is in the public interest. These kinds of concerns should be reported using the grievance policy.</w:t>
      </w:r>
    </w:p>
    <w:p w14:paraId="28C935F8"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If you do make a whistleblowing report, the law protects you. You should not be treated unfairly or lose your job for speaking up.</w:t>
      </w:r>
    </w:p>
    <w:p w14:paraId="4A282157"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You can raise a concern at any time — whether it’s about something that happened in the past, is happening now, or you think might happen soon.</w:t>
      </w:r>
    </w:p>
    <w:p w14:paraId="0093F3EE" w14:textId="77777777" w:rsidR="00130056" w:rsidRPr="00B0162C" w:rsidRDefault="00130056" w:rsidP="00130056">
      <w:pPr>
        <w:pStyle w:val="paragraph"/>
        <w:spacing w:after="0"/>
        <w:jc w:val="both"/>
        <w:textAlignment w:val="baseline"/>
        <w:rPr>
          <w:rFonts w:ascii="Open Sans" w:eastAsiaTheme="majorEastAsia" w:hAnsi="Open Sans" w:cs="Open Sans"/>
          <w:b/>
          <w:bCs/>
          <w:color w:val="002060"/>
        </w:rPr>
      </w:pPr>
      <w:r w:rsidRPr="00B0162C">
        <w:rPr>
          <w:rFonts w:ascii="Open Sans" w:eastAsiaTheme="majorEastAsia" w:hAnsi="Open Sans" w:cs="Open Sans"/>
          <w:b/>
          <w:bCs/>
          <w:color w:val="002060"/>
        </w:rPr>
        <w:t>Making your claim anonymously or confidentially</w:t>
      </w:r>
    </w:p>
    <w:p w14:paraId="4701A576"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 xml:space="preserve">You can report a concern anonymously, but the Senior Management Team might not be able to </w:t>
      </w:r>
      <w:proofErr w:type="gramStart"/>
      <w:r w:rsidRPr="00130056">
        <w:rPr>
          <w:rFonts w:ascii="Open Sans" w:eastAsiaTheme="majorEastAsia" w:hAnsi="Open Sans" w:cs="Open Sans"/>
          <w:color w:val="002060"/>
          <w:sz w:val="22"/>
          <w:szCs w:val="22"/>
          <w:lang w:val="en-GB"/>
        </w:rPr>
        <w:t>look into</w:t>
      </w:r>
      <w:proofErr w:type="gramEnd"/>
      <w:r w:rsidRPr="00130056">
        <w:rPr>
          <w:rFonts w:ascii="Open Sans" w:eastAsiaTheme="majorEastAsia" w:hAnsi="Open Sans" w:cs="Open Sans"/>
          <w:color w:val="002060"/>
          <w:sz w:val="22"/>
          <w:szCs w:val="22"/>
          <w:lang w:val="en-GB"/>
        </w:rPr>
        <w:t xml:space="preserve"> it fully if they don’t have enough information.</w:t>
      </w:r>
    </w:p>
    <w:p w14:paraId="25357BF5"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You can also choose to give your name but ask for it to be kept confidential. The person you speak to should make every effort to protect your identity.</w:t>
      </w:r>
    </w:p>
    <w:p w14:paraId="0FE12E03"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lang w:val="en-GB"/>
        </w:rPr>
      </w:pPr>
      <w:r w:rsidRPr="00130056">
        <w:rPr>
          <w:rFonts w:ascii="Open Sans" w:eastAsiaTheme="majorEastAsia" w:hAnsi="Open Sans" w:cs="Open Sans"/>
          <w:color w:val="002060"/>
          <w:sz w:val="22"/>
          <w:szCs w:val="22"/>
          <w:lang w:val="en-GB"/>
        </w:rPr>
        <w:t>If you report your concern to the media, you will usually lose the legal protections that apply to whistleblowing</w:t>
      </w:r>
    </w:p>
    <w:p w14:paraId="4CAEF1EB" w14:textId="77777777" w:rsidR="00130056" w:rsidRPr="00A55320" w:rsidRDefault="00130056" w:rsidP="00130056">
      <w:pPr>
        <w:pStyle w:val="paragraph"/>
        <w:spacing w:before="0" w:beforeAutospacing="0" w:after="0" w:afterAutospacing="0"/>
        <w:jc w:val="both"/>
        <w:textAlignment w:val="baseline"/>
        <w:rPr>
          <w:rFonts w:ascii="Open Sans" w:hAnsi="Open Sans" w:cs="Open Sans"/>
          <w:color w:val="002060"/>
        </w:rPr>
      </w:pPr>
      <w:r w:rsidRPr="00A55320">
        <w:rPr>
          <w:rStyle w:val="normaltextrun"/>
          <w:rFonts w:ascii="Open Sans" w:eastAsiaTheme="majorEastAsia" w:hAnsi="Open Sans" w:cs="Open Sans"/>
          <w:b/>
          <w:bCs/>
          <w:color w:val="002060"/>
          <w:lang w:val="en-GB"/>
        </w:rPr>
        <w:t>Procedures for Making a Disclosure</w:t>
      </w:r>
      <w:r w:rsidRPr="00A55320">
        <w:rPr>
          <w:rStyle w:val="normaltextrun"/>
          <w:rFonts w:ascii="Open Sans" w:eastAsiaTheme="majorEastAsia" w:hAnsi="Open Sans" w:cs="Open Sans"/>
          <w:color w:val="002060"/>
          <w:lang w:val="en-GB"/>
        </w:rPr>
        <w:t> </w:t>
      </w:r>
      <w:r w:rsidRPr="00A55320">
        <w:rPr>
          <w:rStyle w:val="eop"/>
          <w:rFonts w:ascii="Open Sans" w:eastAsiaTheme="majorEastAsia" w:hAnsi="Open Sans" w:cs="Open Sans"/>
          <w:color w:val="002060"/>
        </w:rPr>
        <w:t> </w:t>
      </w:r>
    </w:p>
    <w:p w14:paraId="6E83B37D"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If you believe there has been malpractice or wrongdoing, you should raise your concern with your line manager or a member of the Senior Leadership Team (SLT). If you want your identity to be kept private, you must say this straight away.</w:t>
      </w:r>
    </w:p>
    <w:p w14:paraId="4D89AA8F" w14:textId="77E8E980"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 xml:space="preserve">Once you raise a concern, you won’t be able to decide how it is handled — </w:t>
      </w:r>
      <w:r w:rsidR="00A55320">
        <w:rPr>
          <w:rFonts w:ascii="Open Sans" w:eastAsiaTheme="majorEastAsia" w:hAnsi="Open Sans" w:cs="Open Sans"/>
          <w:color w:val="002060"/>
          <w:sz w:val="22"/>
          <w:szCs w:val="22"/>
        </w:rPr>
        <w:t xml:space="preserve">Sapphire Education </w:t>
      </w:r>
      <w:r w:rsidRPr="00130056">
        <w:rPr>
          <w:rFonts w:ascii="Open Sans" w:eastAsiaTheme="majorEastAsia" w:hAnsi="Open Sans" w:cs="Open Sans"/>
          <w:color w:val="002060"/>
          <w:sz w:val="22"/>
          <w:szCs w:val="22"/>
        </w:rPr>
        <w:t>will follow its formal process.</w:t>
      </w:r>
    </w:p>
    <w:p w14:paraId="35611C5F"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The person you report it to (your manager or an SLT member) may update you on the steps they’ve taken. However, they might not be able to share full details if they need to keep other people’s information confidential.</w:t>
      </w:r>
    </w:p>
    <w:p w14:paraId="698A3BFB" w14:textId="77777777" w:rsidR="00130056" w:rsidRPr="00A55320" w:rsidRDefault="00130056" w:rsidP="00130056">
      <w:pPr>
        <w:pStyle w:val="paragraph"/>
        <w:spacing w:after="0"/>
        <w:jc w:val="both"/>
        <w:textAlignment w:val="baseline"/>
        <w:rPr>
          <w:rFonts w:ascii="Open Sans" w:eastAsiaTheme="majorEastAsia" w:hAnsi="Open Sans" w:cs="Open Sans"/>
          <w:color w:val="002060"/>
        </w:rPr>
      </w:pPr>
      <w:r w:rsidRPr="00A55320">
        <w:rPr>
          <w:rFonts w:ascii="Open Sans" w:eastAsiaTheme="majorEastAsia" w:hAnsi="Open Sans" w:cs="Open Sans"/>
          <w:b/>
          <w:bCs/>
          <w:color w:val="002060"/>
        </w:rPr>
        <w:t>Who investigates the concern</w:t>
      </w:r>
    </w:p>
    <w:p w14:paraId="772BF35B"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lastRenderedPageBreak/>
        <w:t>The manager or SLT member who receives your concern must pass it on as soon as reasonably possible to the correct investigating officer:</w:t>
      </w:r>
    </w:p>
    <w:p w14:paraId="6C23EED4" w14:textId="77777777" w:rsidR="00130056" w:rsidRPr="00130056" w:rsidRDefault="00130056">
      <w:pPr>
        <w:pStyle w:val="paragraph"/>
        <w:numPr>
          <w:ilvl w:val="0"/>
          <w:numId w:val="2"/>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 xml:space="preserve">Most concerns will be investigated by the </w:t>
      </w:r>
      <w:proofErr w:type="gramStart"/>
      <w:r w:rsidRPr="00130056">
        <w:rPr>
          <w:rFonts w:ascii="Open Sans" w:eastAsiaTheme="majorEastAsia" w:hAnsi="Open Sans" w:cs="Open Sans"/>
          <w:color w:val="002060"/>
          <w:sz w:val="22"/>
          <w:szCs w:val="22"/>
        </w:rPr>
        <w:t>Principal</w:t>
      </w:r>
      <w:proofErr w:type="gramEnd"/>
      <w:r w:rsidRPr="00130056">
        <w:rPr>
          <w:rFonts w:ascii="Open Sans" w:eastAsiaTheme="majorEastAsia" w:hAnsi="Open Sans" w:cs="Open Sans"/>
          <w:color w:val="002060"/>
          <w:sz w:val="22"/>
          <w:szCs w:val="22"/>
        </w:rPr>
        <w:t>.</w:t>
      </w:r>
    </w:p>
    <w:p w14:paraId="398E3620" w14:textId="77777777" w:rsidR="00130056" w:rsidRPr="00130056" w:rsidRDefault="00130056">
      <w:pPr>
        <w:pStyle w:val="paragraph"/>
        <w:numPr>
          <w:ilvl w:val="0"/>
          <w:numId w:val="2"/>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 xml:space="preserve">If the concern is about the </w:t>
      </w:r>
      <w:proofErr w:type="gramStart"/>
      <w:r w:rsidRPr="00130056">
        <w:rPr>
          <w:rFonts w:ascii="Open Sans" w:eastAsiaTheme="majorEastAsia" w:hAnsi="Open Sans" w:cs="Open Sans"/>
          <w:color w:val="002060"/>
          <w:sz w:val="22"/>
          <w:szCs w:val="22"/>
        </w:rPr>
        <w:t>Principal</w:t>
      </w:r>
      <w:proofErr w:type="gramEnd"/>
      <w:r w:rsidRPr="00130056">
        <w:rPr>
          <w:rFonts w:ascii="Open Sans" w:eastAsiaTheme="majorEastAsia" w:hAnsi="Open Sans" w:cs="Open Sans"/>
          <w:color w:val="002060"/>
          <w:sz w:val="22"/>
          <w:szCs w:val="22"/>
        </w:rPr>
        <w:t>, it must be passed to the CEO or the Founder.</w:t>
      </w:r>
    </w:p>
    <w:p w14:paraId="1FBF2DE3" w14:textId="77777777" w:rsidR="00130056" w:rsidRPr="00130056" w:rsidRDefault="00130056">
      <w:pPr>
        <w:pStyle w:val="paragraph"/>
        <w:numPr>
          <w:ilvl w:val="0"/>
          <w:numId w:val="2"/>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If the concern is connected to (but not directly about) the Principal, the CEO or Founder, they will choose someone else, either themselves, a Senior Manager, or an external person to investigate.</w:t>
      </w:r>
    </w:p>
    <w:p w14:paraId="04502327" w14:textId="77777777" w:rsidR="00130056" w:rsidRPr="00130056" w:rsidRDefault="00130056">
      <w:pPr>
        <w:pStyle w:val="paragraph"/>
        <w:numPr>
          <w:ilvl w:val="0"/>
          <w:numId w:val="2"/>
        </w:numPr>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If the concern is about both the Principal and the CEO, it should be passed to the Founder, who will select an internal or external investigator.</w:t>
      </w:r>
    </w:p>
    <w:p w14:paraId="11613FCD"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You can choose to bypass your manager completely and report your concern directly to the Directors. The Directors may pass it back to an SLT member if they believe that person (with no conflict of interest) is best placed to investigate.</w:t>
      </w:r>
    </w:p>
    <w:p w14:paraId="5AD94A87" w14:textId="77777777" w:rsidR="00130056" w:rsidRPr="001C1782" w:rsidRDefault="00130056" w:rsidP="00130056">
      <w:pPr>
        <w:pStyle w:val="paragraph"/>
        <w:spacing w:after="0"/>
        <w:jc w:val="both"/>
        <w:textAlignment w:val="baseline"/>
        <w:rPr>
          <w:rFonts w:ascii="Open Sans" w:eastAsiaTheme="majorEastAsia" w:hAnsi="Open Sans" w:cs="Open Sans"/>
          <w:color w:val="002060"/>
        </w:rPr>
      </w:pPr>
      <w:r w:rsidRPr="001C1782">
        <w:rPr>
          <w:rFonts w:ascii="Open Sans" w:eastAsiaTheme="majorEastAsia" w:hAnsi="Open Sans" w:cs="Open Sans"/>
          <w:b/>
          <w:bCs/>
          <w:color w:val="002060"/>
        </w:rPr>
        <w:t>Timescales</w:t>
      </w:r>
    </w:p>
    <w:p w14:paraId="5D0CF994"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Because concerns can vary a lot — and sometimes involve outside agencies or even the police — it isn’t possible to set strict timelines. Investigations should be carried out as quickly as possible without affecting their quality.</w:t>
      </w:r>
    </w:p>
    <w:p w14:paraId="55CF891E"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The investigating officer should send you a written acknowledgement as soon as they can (if your identity is known). They should then write to you again with the outcome and any actions taken. If the investigation takes a long time, they should keep you updated in writing about progress and expected timescales.</w:t>
      </w:r>
    </w:p>
    <w:p w14:paraId="15CC2263"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All written responses should be sent to your home address marked “confidential”, or by email if the issue relates to the summer school.</w:t>
      </w:r>
    </w:p>
    <w:p w14:paraId="534FE550" w14:textId="77777777" w:rsidR="00130056" w:rsidRPr="00943ED1" w:rsidRDefault="00130056" w:rsidP="00130056">
      <w:pPr>
        <w:pStyle w:val="paragraph"/>
        <w:spacing w:after="0"/>
        <w:jc w:val="both"/>
        <w:textAlignment w:val="baseline"/>
        <w:rPr>
          <w:rFonts w:ascii="Open Sans" w:eastAsiaTheme="majorEastAsia" w:hAnsi="Open Sans" w:cs="Open Sans"/>
          <w:color w:val="002060"/>
        </w:rPr>
      </w:pPr>
      <w:r w:rsidRPr="00943ED1">
        <w:rPr>
          <w:rFonts w:ascii="Open Sans" w:eastAsiaTheme="majorEastAsia" w:hAnsi="Open Sans" w:cs="Open Sans"/>
          <w:b/>
          <w:bCs/>
          <w:color w:val="002060"/>
        </w:rPr>
        <w:t>Criminal activity</w:t>
      </w:r>
    </w:p>
    <w:p w14:paraId="3B1D147D" w14:textId="700A5B82" w:rsidR="00130056" w:rsidRPr="00130056" w:rsidRDefault="00130056" w:rsidP="00130056">
      <w:pPr>
        <w:pStyle w:val="paragraph"/>
        <w:spacing w:after="0"/>
        <w:jc w:val="both"/>
        <w:textAlignment w:val="baseline"/>
        <w:rPr>
          <w:rStyle w:val="eop"/>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 xml:space="preserve">If the investigating officer finds evidence of a crime, they must inform the Directors or Founder and contact the police. </w:t>
      </w:r>
      <w:r w:rsidR="00943ED1">
        <w:rPr>
          <w:rFonts w:ascii="Open Sans" w:eastAsiaTheme="majorEastAsia" w:hAnsi="Open Sans" w:cs="Open Sans"/>
          <w:color w:val="002060"/>
          <w:sz w:val="22"/>
          <w:szCs w:val="22"/>
        </w:rPr>
        <w:t xml:space="preserve">Sapphire Education </w:t>
      </w:r>
      <w:r w:rsidRPr="00130056">
        <w:rPr>
          <w:rFonts w:ascii="Open Sans" w:eastAsiaTheme="majorEastAsia" w:hAnsi="Open Sans" w:cs="Open Sans"/>
          <w:color w:val="002060"/>
          <w:sz w:val="22"/>
          <w:szCs w:val="22"/>
        </w:rPr>
        <w:t>will make sure that any internal investigation does not interfere with a police investigation.</w:t>
      </w:r>
    </w:p>
    <w:p w14:paraId="65A7E4DC" w14:textId="77777777" w:rsidR="00130056" w:rsidRPr="00943ED1" w:rsidRDefault="00130056" w:rsidP="00130056">
      <w:pPr>
        <w:pStyle w:val="paragraph"/>
        <w:spacing w:before="0" w:beforeAutospacing="0" w:after="0" w:afterAutospacing="0"/>
        <w:jc w:val="both"/>
        <w:textAlignment w:val="baseline"/>
        <w:rPr>
          <w:rStyle w:val="normaltextrun"/>
          <w:rFonts w:ascii="Open Sans" w:eastAsiaTheme="majorEastAsia" w:hAnsi="Open Sans" w:cs="Open Sans"/>
          <w:color w:val="002060"/>
          <w:lang w:val="en-GB"/>
        </w:rPr>
      </w:pPr>
      <w:r w:rsidRPr="00943ED1">
        <w:rPr>
          <w:rStyle w:val="normaltextrun"/>
          <w:rFonts w:ascii="Open Sans" w:eastAsiaTheme="majorEastAsia" w:hAnsi="Open Sans" w:cs="Open Sans"/>
          <w:b/>
          <w:bCs/>
          <w:color w:val="002060"/>
          <w:lang w:val="en-GB"/>
        </w:rPr>
        <w:t>Untrue Allegations</w:t>
      </w:r>
      <w:r w:rsidRPr="00943ED1">
        <w:rPr>
          <w:rStyle w:val="normaltextrun"/>
          <w:rFonts w:ascii="Open Sans" w:eastAsiaTheme="majorEastAsia" w:hAnsi="Open Sans" w:cs="Open Sans"/>
          <w:color w:val="002060"/>
          <w:lang w:val="en-GB"/>
        </w:rPr>
        <w:t xml:space="preserve"> </w:t>
      </w:r>
    </w:p>
    <w:p w14:paraId="7503C9E0" w14:textId="77777777" w:rsidR="00130056" w:rsidRPr="00130056" w:rsidRDefault="00130056" w:rsidP="00130056">
      <w:pPr>
        <w:pStyle w:val="paragraph"/>
        <w:spacing w:before="0" w:beforeAutospacing="0" w:after="0" w:afterAutospacing="0"/>
        <w:jc w:val="both"/>
        <w:textAlignment w:val="baseline"/>
        <w:rPr>
          <w:rStyle w:val="normaltextrun"/>
          <w:rFonts w:ascii="Open Sans" w:eastAsiaTheme="majorEastAsia" w:hAnsi="Open Sans" w:cs="Open Sans"/>
          <w:color w:val="002060"/>
          <w:sz w:val="22"/>
          <w:szCs w:val="22"/>
          <w:lang w:val="en-GB"/>
        </w:rPr>
      </w:pPr>
    </w:p>
    <w:p w14:paraId="2D647D2E" w14:textId="77777777" w:rsidR="00130056" w:rsidRPr="00130056" w:rsidRDefault="00130056" w:rsidP="00130056">
      <w:pPr>
        <w:pStyle w:val="paragraph"/>
        <w:spacing w:before="0" w:beforeAutospacing="0" w:after="0" w:afterAutospacing="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If someone makes a report in good faith — and it later turns out not to be true — no action will be taken against them. When speaking up, individuals should do their best to make sure the information they share is accurate.</w:t>
      </w:r>
    </w:p>
    <w:p w14:paraId="03230948" w14:textId="77777777" w:rsidR="00130056" w:rsidRPr="00130056" w:rsidRDefault="00130056" w:rsidP="00130056">
      <w:pPr>
        <w:pStyle w:val="paragraph"/>
        <w:spacing w:before="0" w:beforeAutospacing="0" w:after="0" w:afterAutospacing="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lastRenderedPageBreak/>
        <w:t xml:space="preserve">However, if someone makes a report that is deliberately untrue, malicious, or made to cause trouble — especially if they continue doing so — disciplinary action </w:t>
      </w:r>
      <w:r w:rsidRPr="00130056">
        <w:rPr>
          <w:rStyle w:val="normaltextrun"/>
          <w:rFonts w:ascii="Open Sans" w:eastAsiaTheme="majorEastAsia" w:hAnsi="Open Sans" w:cs="Open Sans"/>
          <w:color w:val="002060"/>
          <w:sz w:val="22"/>
          <w:szCs w:val="22"/>
          <w:lang w:val="en-GB"/>
        </w:rPr>
        <w:t>may be taken against that individual</w:t>
      </w:r>
      <w:r w:rsidRPr="00130056">
        <w:rPr>
          <w:rFonts w:ascii="Open Sans" w:eastAsiaTheme="majorEastAsia" w:hAnsi="Open Sans" w:cs="Open Sans"/>
          <w:color w:val="002060"/>
          <w:sz w:val="22"/>
          <w:szCs w:val="22"/>
        </w:rPr>
        <w:t>.</w:t>
      </w:r>
    </w:p>
    <w:p w14:paraId="7227D224" w14:textId="77777777" w:rsidR="00130056" w:rsidRPr="00E235A7" w:rsidRDefault="00130056" w:rsidP="00130056">
      <w:pPr>
        <w:pStyle w:val="paragraph"/>
        <w:spacing w:after="0"/>
        <w:jc w:val="both"/>
        <w:textAlignment w:val="baseline"/>
        <w:rPr>
          <w:rFonts w:ascii="Open Sans" w:eastAsiaTheme="majorEastAsia" w:hAnsi="Open Sans" w:cs="Open Sans"/>
          <w:b/>
          <w:bCs/>
          <w:color w:val="002060"/>
        </w:rPr>
      </w:pPr>
      <w:r w:rsidRPr="00E235A7">
        <w:rPr>
          <w:rFonts w:ascii="Open Sans" w:eastAsiaTheme="majorEastAsia" w:hAnsi="Open Sans" w:cs="Open Sans"/>
          <w:b/>
          <w:bCs/>
          <w:color w:val="002060"/>
        </w:rPr>
        <w:t>If you’re not satisfied with how your employer dealt with your concern</w:t>
      </w:r>
    </w:p>
    <w:p w14:paraId="7CB597C0"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Tell another member of the senior management team if you believe your concern was not taken seriously or the wrongdoing is still going on.  Alternatively, contact the </w:t>
      </w:r>
      <w:hyperlink r:id="rId13" w:history="1">
        <w:r w:rsidRPr="00130056">
          <w:rPr>
            <w:rStyle w:val="Hyperlink"/>
            <w:rFonts w:ascii="Open Sans" w:eastAsiaTheme="majorEastAsia" w:hAnsi="Open Sans" w:cs="Open Sans"/>
            <w:color w:val="002060"/>
            <w:sz w:val="22"/>
            <w:szCs w:val="22"/>
          </w:rPr>
          <w:t>Advisory, Conciliation and Arbitration Service (</w:t>
        </w:r>
        <w:proofErr w:type="spellStart"/>
        <w:r w:rsidRPr="00130056">
          <w:rPr>
            <w:rStyle w:val="Hyperlink"/>
            <w:rFonts w:ascii="Open Sans" w:eastAsiaTheme="majorEastAsia" w:hAnsi="Open Sans" w:cs="Open Sans"/>
            <w:color w:val="002060"/>
            <w:sz w:val="22"/>
            <w:szCs w:val="22"/>
          </w:rPr>
          <w:t>Acas</w:t>
        </w:r>
        <w:proofErr w:type="spellEnd"/>
        <w:r w:rsidRPr="00130056">
          <w:rPr>
            <w:rStyle w:val="Hyperlink"/>
            <w:rFonts w:ascii="Open Sans" w:eastAsiaTheme="majorEastAsia" w:hAnsi="Open Sans" w:cs="Open Sans"/>
            <w:color w:val="002060"/>
            <w:sz w:val="22"/>
            <w:szCs w:val="22"/>
          </w:rPr>
          <w:t>)</w:t>
        </w:r>
      </w:hyperlink>
      <w:r w:rsidRPr="00130056">
        <w:rPr>
          <w:rFonts w:ascii="Open Sans" w:eastAsiaTheme="majorEastAsia" w:hAnsi="Open Sans" w:cs="Open Sans"/>
          <w:color w:val="002060"/>
          <w:sz w:val="22"/>
          <w:szCs w:val="22"/>
        </w:rPr>
        <w:t>, the whistleblowing charity </w:t>
      </w:r>
      <w:hyperlink r:id="rId14" w:history="1">
        <w:r w:rsidRPr="00130056">
          <w:rPr>
            <w:rStyle w:val="Hyperlink"/>
            <w:rFonts w:ascii="Open Sans" w:eastAsiaTheme="majorEastAsia" w:hAnsi="Open Sans" w:cs="Open Sans"/>
            <w:color w:val="002060"/>
            <w:sz w:val="22"/>
            <w:szCs w:val="22"/>
          </w:rPr>
          <w:t>Protect</w:t>
        </w:r>
      </w:hyperlink>
      <w:r w:rsidRPr="00130056">
        <w:rPr>
          <w:rFonts w:ascii="Open Sans" w:eastAsiaTheme="majorEastAsia" w:hAnsi="Open Sans" w:cs="Open Sans"/>
          <w:color w:val="002060"/>
          <w:sz w:val="22"/>
          <w:szCs w:val="22"/>
        </w:rPr>
        <w:t> or your trade union for more guidance.</w:t>
      </w:r>
    </w:p>
    <w:p w14:paraId="5D8BAE70" w14:textId="77777777" w:rsidR="00130056" w:rsidRPr="00E235A7" w:rsidRDefault="00130056" w:rsidP="00130056">
      <w:pPr>
        <w:pStyle w:val="paragraph"/>
        <w:jc w:val="both"/>
        <w:textAlignment w:val="baseline"/>
        <w:rPr>
          <w:rFonts w:ascii="Open Sans" w:eastAsiaTheme="majorEastAsia" w:hAnsi="Open Sans" w:cs="Open Sans"/>
          <w:b/>
          <w:bCs/>
          <w:color w:val="002060"/>
        </w:rPr>
      </w:pPr>
      <w:r w:rsidRPr="00E235A7">
        <w:rPr>
          <w:rFonts w:ascii="Open Sans" w:eastAsiaTheme="majorEastAsia" w:hAnsi="Open Sans" w:cs="Open Sans"/>
          <w:b/>
          <w:bCs/>
          <w:color w:val="002060"/>
        </w:rPr>
        <w:t>If you’re treated unfairly after whistleblowing</w:t>
      </w:r>
    </w:p>
    <w:p w14:paraId="52AFEB1C" w14:textId="77777777" w:rsidR="00130056" w:rsidRPr="00130056" w:rsidRDefault="00130056" w:rsidP="00130056">
      <w:pPr>
        <w:pStyle w:val="paragraph"/>
        <w:spacing w:after="0"/>
        <w:jc w:val="both"/>
        <w:textAlignment w:val="baseline"/>
        <w:rPr>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You can take a case to an employment tribunal if you’ve been treated unfairly because you’ve blown the whistle.  You can get further information from the </w:t>
      </w:r>
      <w:hyperlink r:id="rId15" w:history="1">
        <w:r w:rsidRPr="00130056">
          <w:rPr>
            <w:rStyle w:val="Hyperlink"/>
            <w:rFonts w:ascii="Open Sans" w:eastAsiaTheme="majorEastAsia" w:hAnsi="Open Sans" w:cs="Open Sans"/>
            <w:color w:val="002060"/>
            <w:sz w:val="22"/>
            <w:szCs w:val="22"/>
          </w:rPr>
          <w:t>Advisory, Conciliation and Arbitration Service (</w:t>
        </w:r>
        <w:proofErr w:type="spellStart"/>
        <w:r w:rsidRPr="00130056">
          <w:rPr>
            <w:rStyle w:val="Hyperlink"/>
            <w:rFonts w:ascii="Open Sans" w:eastAsiaTheme="majorEastAsia" w:hAnsi="Open Sans" w:cs="Open Sans"/>
            <w:color w:val="002060"/>
            <w:sz w:val="22"/>
            <w:szCs w:val="22"/>
          </w:rPr>
          <w:t>Acas</w:t>
        </w:r>
        <w:proofErr w:type="spellEnd"/>
        <w:r w:rsidRPr="00130056">
          <w:rPr>
            <w:rStyle w:val="Hyperlink"/>
            <w:rFonts w:ascii="Open Sans" w:eastAsiaTheme="majorEastAsia" w:hAnsi="Open Sans" w:cs="Open Sans"/>
            <w:color w:val="002060"/>
            <w:sz w:val="22"/>
            <w:szCs w:val="22"/>
          </w:rPr>
          <w:t>)</w:t>
        </w:r>
      </w:hyperlink>
      <w:r w:rsidRPr="00130056">
        <w:rPr>
          <w:rFonts w:ascii="Open Sans" w:eastAsiaTheme="majorEastAsia" w:hAnsi="Open Sans" w:cs="Open Sans"/>
          <w:color w:val="002060"/>
          <w:sz w:val="22"/>
          <w:szCs w:val="22"/>
        </w:rPr>
        <w:t>, </w:t>
      </w:r>
      <w:hyperlink r:id="rId16" w:history="1">
        <w:r w:rsidRPr="00130056">
          <w:rPr>
            <w:rStyle w:val="Hyperlink"/>
            <w:rFonts w:ascii="Open Sans" w:eastAsiaTheme="majorEastAsia" w:hAnsi="Open Sans" w:cs="Open Sans"/>
            <w:color w:val="002060"/>
            <w:sz w:val="22"/>
            <w:szCs w:val="22"/>
          </w:rPr>
          <w:t>Citizens’ Advice</w:t>
        </w:r>
      </w:hyperlink>
      <w:r w:rsidRPr="00130056">
        <w:rPr>
          <w:rFonts w:ascii="Open Sans" w:eastAsiaTheme="majorEastAsia" w:hAnsi="Open Sans" w:cs="Open Sans"/>
          <w:color w:val="002060"/>
          <w:sz w:val="22"/>
          <w:szCs w:val="22"/>
        </w:rPr>
        <w:t xml:space="preserve">, the whistleblowing charity Protect or your trade union.  </w:t>
      </w:r>
    </w:p>
    <w:p w14:paraId="41DB64A4" w14:textId="77777777" w:rsidR="00130056" w:rsidRPr="00130056" w:rsidRDefault="00130056" w:rsidP="00130056">
      <w:pPr>
        <w:pStyle w:val="paragraph"/>
        <w:spacing w:after="0"/>
        <w:jc w:val="both"/>
        <w:textAlignment w:val="baseline"/>
        <w:rPr>
          <w:rStyle w:val="normaltextrun"/>
          <w:rFonts w:ascii="Open Sans" w:eastAsiaTheme="majorEastAsia" w:hAnsi="Open Sans" w:cs="Open Sans"/>
          <w:color w:val="002060"/>
          <w:sz w:val="22"/>
          <w:szCs w:val="22"/>
        </w:rPr>
      </w:pPr>
      <w:r w:rsidRPr="00130056">
        <w:rPr>
          <w:rFonts w:ascii="Open Sans" w:eastAsiaTheme="majorEastAsia" w:hAnsi="Open Sans" w:cs="Open Sans"/>
          <w:color w:val="002060"/>
          <w:sz w:val="22"/>
          <w:szCs w:val="22"/>
        </w:rPr>
        <w:t>You must notify </w:t>
      </w:r>
      <w:proofErr w:type="spellStart"/>
      <w:r w:rsidRPr="00130056">
        <w:rPr>
          <w:rFonts w:ascii="Open Sans" w:eastAsiaTheme="majorEastAsia" w:hAnsi="Open Sans" w:cs="Open Sans"/>
          <w:color w:val="002060"/>
          <w:sz w:val="22"/>
          <w:szCs w:val="22"/>
        </w:rPr>
        <w:t>Acas</w:t>
      </w:r>
      <w:proofErr w:type="spellEnd"/>
      <w:r w:rsidRPr="00130056">
        <w:rPr>
          <w:rFonts w:ascii="Open Sans" w:eastAsiaTheme="majorEastAsia" w:hAnsi="Open Sans" w:cs="Open Sans"/>
          <w:color w:val="002060"/>
          <w:sz w:val="22"/>
          <w:szCs w:val="22"/>
        </w:rPr>
        <w:t> if you want to take your case to an employment tribunal.</w:t>
      </w:r>
    </w:p>
    <w:sectPr w:rsidR="00130056" w:rsidRPr="00130056"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C36B" w14:textId="77777777" w:rsidR="00992717" w:rsidRDefault="00992717">
      <w:pPr>
        <w:spacing w:after="0" w:line="240" w:lineRule="auto"/>
      </w:pPr>
      <w:r>
        <w:separator/>
      </w:r>
    </w:p>
  </w:endnote>
  <w:endnote w:type="continuationSeparator" w:id="0">
    <w:p w14:paraId="6F0F7209" w14:textId="77777777" w:rsidR="00992717" w:rsidRDefault="0099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DC5044F-6029-4EA3-AADB-6C0BB185D268}"/>
  </w:font>
  <w:font w:name="Merriweather">
    <w:charset w:val="00"/>
    <w:family w:val="auto"/>
    <w:pitch w:val="variable"/>
    <w:sig w:usb0="20000207" w:usb1="00000002" w:usb2="00000000" w:usb3="00000000" w:csb0="00000197" w:csb1="00000000"/>
    <w:embedRegular r:id="rId2" w:fontKey="{E2D44D40-3585-46AC-AED5-D25F847757D6}"/>
    <w:embedBold r:id="rId3" w:fontKey="{2CE54B9C-FE2E-40D1-B986-107ACBAB89ED}"/>
  </w:font>
  <w:font w:name="Open Sans">
    <w:charset w:val="00"/>
    <w:family w:val="swiss"/>
    <w:pitch w:val="variable"/>
    <w:sig w:usb0="E00002EF" w:usb1="4000205B" w:usb2="00000028" w:usb3="00000000" w:csb0="0000019F" w:csb1="00000000"/>
    <w:embedRegular r:id="rId4" w:fontKey="{D8E8D5A2-7DA1-45C2-A283-4B0D204010EA}"/>
    <w:embedBold r:id="rId5" w:fontKey="{F191DA2B-083D-4479-97BD-20B03FAB5233}"/>
  </w:font>
  <w:font w:name="Aptos Display">
    <w:charset w:val="00"/>
    <w:family w:val="swiss"/>
    <w:pitch w:val="variable"/>
    <w:sig w:usb0="20000287" w:usb1="00000003" w:usb2="00000000" w:usb3="00000000" w:csb0="0000019F" w:csb1="00000000"/>
    <w:embedRegular r:id="rId6" w:fontKey="{064CBD6B-853D-4CE5-95ED-7588A704DDF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6462" w14:textId="77777777" w:rsidR="00992717" w:rsidRDefault="00992717">
      <w:pPr>
        <w:spacing w:after="0" w:line="240" w:lineRule="auto"/>
      </w:pPr>
      <w:r>
        <w:separator/>
      </w:r>
    </w:p>
  </w:footnote>
  <w:footnote w:type="continuationSeparator" w:id="0">
    <w:p w14:paraId="55CC6D45" w14:textId="77777777" w:rsidR="00992717" w:rsidRDefault="00992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3992"/>
    <w:multiLevelType w:val="hybridMultilevel"/>
    <w:tmpl w:val="BA30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82692"/>
    <w:multiLevelType w:val="multilevel"/>
    <w:tmpl w:val="B074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172671">
    <w:abstractNumId w:val="1"/>
  </w:num>
  <w:num w:numId="2" w16cid:durableId="15817129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45DF9"/>
    <w:rsid w:val="00097FF2"/>
    <w:rsid w:val="000A4A39"/>
    <w:rsid w:val="000B493F"/>
    <w:rsid w:val="000F596C"/>
    <w:rsid w:val="001004E0"/>
    <w:rsid w:val="001039FC"/>
    <w:rsid w:val="00130056"/>
    <w:rsid w:val="00140976"/>
    <w:rsid w:val="00152D27"/>
    <w:rsid w:val="001641FD"/>
    <w:rsid w:val="00166E7A"/>
    <w:rsid w:val="00174921"/>
    <w:rsid w:val="00184DE3"/>
    <w:rsid w:val="00186002"/>
    <w:rsid w:val="001A0A75"/>
    <w:rsid w:val="001B2ECC"/>
    <w:rsid w:val="001C1428"/>
    <w:rsid w:val="001C1782"/>
    <w:rsid w:val="001E2660"/>
    <w:rsid w:val="001F66E6"/>
    <w:rsid w:val="00223C74"/>
    <w:rsid w:val="00242D40"/>
    <w:rsid w:val="00272D47"/>
    <w:rsid w:val="0028346C"/>
    <w:rsid w:val="00283D95"/>
    <w:rsid w:val="002A2954"/>
    <w:rsid w:val="002B0905"/>
    <w:rsid w:val="002B12DA"/>
    <w:rsid w:val="002C3FA5"/>
    <w:rsid w:val="002D3C91"/>
    <w:rsid w:val="002D3E8B"/>
    <w:rsid w:val="002F0797"/>
    <w:rsid w:val="002F64E2"/>
    <w:rsid w:val="00322C23"/>
    <w:rsid w:val="0034588D"/>
    <w:rsid w:val="003467A6"/>
    <w:rsid w:val="00362D66"/>
    <w:rsid w:val="0036465A"/>
    <w:rsid w:val="00367D51"/>
    <w:rsid w:val="00391AD7"/>
    <w:rsid w:val="00397107"/>
    <w:rsid w:val="003B6266"/>
    <w:rsid w:val="003B628E"/>
    <w:rsid w:val="003C3B8B"/>
    <w:rsid w:val="003C3BC4"/>
    <w:rsid w:val="003D51C6"/>
    <w:rsid w:val="003E026C"/>
    <w:rsid w:val="003E27C0"/>
    <w:rsid w:val="00420042"/>
    <w:rsid w:val="004339C6"/>
    <w:rsid w:val="00435A46"/>
    <w:rsid w:val="00442AB4"/>
    <w:rsid w:val="00454356"/>
    <w:rsid w:val="0046455F"/>
    <w:rsid w:val="00476FBA"/>
    <w:rsid w:val="00477238"/>
    <w:rsid w:val="00491112"/>
    <w:rsid w:val="004928AA"/>
    <w:rsid w:val="004B00D4"/>
    <w:rsid w:val="004E67DA"/>
    <w:rsid w:val="004F3BC4"/>
    <w:rsid w:val="00523025"/>
    <w:rsid w:val="00536C94"/>
    <w:rsid w:val="0054279E"/>
    <w:rsid w:val="00545EDE"/>
    <w:rsid w:val="005469B9"/>
    <w:rsid w:val="00552EEE"/>
    <w:rsid w:val="005569EF"/>
    <w:rsid w:val="00560491"/>
    <w:rsid w:val="00561E1E"/>
    <w:rsid w:val="00587851"/>
    <w:rsid w:val="0059719E"/>
    <w:rsid w:val="005B65D8"/>
    <w:rsid w:val="005C4F3E"/>
    <w:rsid w:val="005D0D8B"/>
    <w:rsid w:val="005E0C6A"/>
    <w:rsid w:val="005F5FCC"/>
    <w:rsid w:val="00604CC1"/>
    <w:rsid w:val="00620B33"/>
    <w:rsid w:val="00627525"/>
    <w:rsid w:val="006431CA"/>
    <w:rsid w:val="006439FC"/>
    <w:rsid w:val="006513A3"/>
    <w:rsid w:val="006671D9"/>
    <w:rsid w:val="00676055"/>
    <w:rsid w:val="006823E8"/>
    <w:rsid w:val="006845CA"/>
    <w:rsid w:val="006A3A9C"/>
    <w:rsid w:val="006D322A"/>
    <w:rsid w:val="006D7EBE"/>
    <w:rsid w:val="006E5FFF"/>
    <w:rsid w:val="007017A4"/>
    <w:rsid w:val="00704058"/>
    <w:rsid w:val="007054D5"/>
    <w:rsid w:val="00711922"/>
    <w:rsid w:val="00720519"/>
    <w:rsid w:val="007229CB"/>
    <w:rsid w:val="0075459E"/>
    <w:rsid w:val="0076086B"/>
    <w:rsid w:val="00773ECB"/>
    <w:rsid w:val="00780EC0"/>
    <w:rsid w:val="00784CFB"/>
    <w:rsid w:val="007A7BF2"/>
    <w:rsid w:val="007B1DDE"/>
    <w:rsid w:val="007B4E61"/>
    <w:rsid w:val="007C35DF"/>
    <w:rsid w:val="007E0B53"/>
    <w:rsid w:val="00820034"/>
    <w:rsid w:val="00821021"/>
    <w:rsid w:val="00823A29"/>
    <w:rsid w:val="00830949"/>
    <w:rsid w:val="008355C5"/>
    <w:rsid w:val="00890828"/>
    <w:rsid w:val="008A5814"/>
    <w:rsid w:val="008C0562"/>
    <w:rsid w:val="008D51CE"/>
    <w:rsid w:val="008E21E0"/>
    <w:rsid w:val="008E7227"/>
    <w:rsid w:val="008F2531"/>
    <w:rsid w:val="00912DF4"/>
    <w:rsid w:val="00914F8B"/>
    <w:rsid w:val="0093118E"/>
    <w:rsid w:val="0093355F"/>
    <w:rsid w:val="00936D46"/>
    <w:rsid w:val="00943ED1"/>
    <w:rsid w:val="00970E08"/>
    <w:rsid w:val="00976406"/>
    <w:rsid w:val="00992717"/>
    <w:rsid w:val="009971A7"/>
    <w:rsid w:val="009A6C42"/>
    <w:rsid w:val="009B6E05"/>
    <w:rsid w:val="009C158E"/>
    <w:rsid w:val="009C6147"/>
    <w:rsid w:val="009D454A"/>
    <w:rsid w:val="009E029C"/>
    <w:rsid w:val="009F501E"/>
    <w:rsid w:val="00A06980"/>
    <w:rsid w:val="00A13688"/>
    <w:rsid w:val="00A172BD"/>
    <w:rsid w:val="00A27D0C"/>
    <w:rsid w:val="00A3216D"/>
    <w:rsid w:val="00A33CAE"/>
    <w:rsid w:val="00A40981"/>
    <w:rsid w:val="00A40BD8"/>
    <w:rsid w:val="00A41940"/>
    <w:rsid w:val="00A55320"/>
    <w:rsid w:val="00AA23EC"/>
    <w:rsid w:val="00AB1277"/>
    <w:rsid w:val="00AC02F5"/>
    <w:rsid w:val="00AC2190"/>
    <w:rsid w:val="00AD01CC"/>
    <w:rsid w:val="00AD59E1"/>
    <w:rsid w:val="00AE107A"/>
    <w:rsid w:val="00AF09A4"/>
    <w:rsid w:val="00AF2CDF"/>
    <w:rsid w:val="00AF3347"/>
    <w:rsid w:val="00B0162C"/>
    <w:rsid w:val="00B50A6A"/>
    <w:rsid w:val="00B64515"/>
    <w:rsid w:val="00B85C38"/>
    <w:rsid w:val="00BA0917"/>
    <w:rsid w:val="00BB5B39"/>
    <w:rsid w:val="00BB624E"/>
    <w:rsid w:val="00BB7160"/>
    <w:rsid w:val="00BC3848"/>
    <w:rsid w:val="00BC6D27"/>
    <w:rsid w:val="00BE3764"/>
    <w:rsid w:val="00C23CA6"/>
    <w:rsid w:val="00C33B69"/>
    <w:rsid w:val="00C33C33"/>
    <w:rsid w:val="00C358A9"/>
    <w:rsid w:val="00C35951"/>
    <w:rsid w:val="00C473E5"/>
    <w:rsid w:val="00CB3D33"/>
    <w:rsid w:val="00CD5BBE"/>
    <w:rsid w:val="00CE5381"/>
    <w:rsid w:val="00CF2B7E"/>
    <w:rsid w:val="00D03AA0"/>
    <w:rsid w:val="00D0436C"/>
    <w:rsid w:val="00D26F56"/>
    <w:rsid w:val="00D44CEA"/>
    <w:rsid w:val="00D65FCA"/>
    <w:rsid w:val="00D71776"/>
    <w:rsid w:val="00D836FF"/>
    <w:rsid w:val="00D868B2"/>
    <w:rsid w:val="00D8779C"/>
    <w:rsid w:val="00DA09AB"/>
    <w:rsid w:val="00DE3C6A"/>
    <w:rsid w:val="00E06B51"/>
    <w:rsid w:val="00E235A7"/>
    <w:rsid w:val="00E356B9"/>
    <w:rsid w:val="00E461C1"/>
    <w:rsid w:val="00E56E20"/>
    <w:rsid w:val="00E6173A"/>
    <w:rsid w:val="00E64CE7"/>
    <w:rsid w:val="00E82CD1"/>
    <w:rsid w:val="00E903BF"/>
    <w:rsid w:val="00E93D86"/>
    <w:rsid w:val="00E94563"/>
    <w:rsid w:val="00E95BFA"/>
    <w:rsid w:val="00ED4BB8"/>
    <w:rsid w:val="00EE0D6E"/>
    <w:rsid w:val="00EE10F2"/>
    <w:rsid w:val="00F03CAB"/>
    <w:rsid w:val="00F32BA8"/>
    <w:rsid w:val="00F4238A"/>
    <w:rsid w:val="00F436ED"/>
    <w:rsid w:val="00F653E9"/>
    <w:rsid w:val="00F7177D"/>
    <w:rsid w:val="00F963B9"/>
    <w:rsid w:val="00FA2FC7"/>
    <w:rsid w:val="00FC4A91"/>
    <w:rsid w:val="00FD0337"/>
    <w:rsid w:val="00FD0569"/>
    <w:rsid w:val="00FD05C0"/>
    <w:rsid w:val="00FD653D"/>
    <w:rsid w:val="00FE0091"/>
    <w:rsid w:val="05E59688"/>
    <w:rsid w:val="09DF36DE"/>
    <w:rsid w:val="0CC38FCB"/>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 w:type="paragraph" w:customStyle="1" w:styleId="paragraph">
    <w:name w:val="paragraph"/>
    <w:basedOn w:val="Normal"/>
    <w:rsid w:val="00130056"/>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130056"/>
  </w:style>
  <w:style w:type="character" w:customStyle="1" w:styleId="eop">
    <w:name w:val="eop"/>
    <w:basedOn w:val="DefaultParagraphFont"/>
    <w:rsid w:val="00130056"/>
  </w:style>
  <w:style w:type="character" w:customStyle="1" w:styleId="scxw147392311">
    <w:name w:val="scxw147392311"/>
    <w:basedOn w:val="DefaultParagraphFont"/>
    <w:rsid w:val="001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viceguid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as.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advice.org.u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2.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3.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10</cp:revision>
  <dcterms:created xsi:type="dcterms:W3CDTF">2026-06-09T10:13:00Z</dcterms:created>
  <dcterms:modified xsi:type="dcterms:W3CDTF">2026-06-09T10:21:00Z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