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B4B4A52" w14:textId="37B3714C" w:rsidR="00AB1277" w:rsidRDefault="00FD0569" w:rsidP="00442AB4">
      <w:pPr>
        <w:rPr>
          <w:rFonts w:ascii="Merriweather" w:hAnsi="Merriweather"/>
          <w:b/>
          <w:color w:val="BF9E4F"/>
          <w:sz w:val="44"/>
          <w:szCs w:val="44"/>
        </w:rPr>
      </w:pPr>
      <w:r>
        <w:rPr>
          <w:rFonts w:ascii="Merriweather" w:hAnsi="Merriweather"/>
          <w:b/>
          <w:color w:val="BF9E4F"/>
          <w:sz w:val="44"/>
          <w:szCs w:val="44"/>
        </w:rPr>
        <w:t>Diversity, Equality and Inclusion</w:t>
      </w:r>
      <w:r w:rsidR="00AC2190">
        <w:rPr>
          <w:rFonts w:ascii="Merriweather" w:hAnsi="Merriweather"/>
          <w:b/>
          <w:color w:val="BF9E4F"/>
          <w:sz w:val="44"/>
          <w:szCs w:val="44"/>
        </w:rPr>
        <w:t xml:space="preserve"> Policy</w:t>
      </w:r>
    </w:p>
    <w:p w14:paraId="29D9743F" w14:textId="77777777" w:rsidR="003467A6" w:rsidRPr="007E0B53" w:rsidRDefault="003467A6" w:rsidP="00442AB4">
      <w:pPr>
        <w:rPr>
          <w:rFonts w:ascii="Open Sans" w:hAnsi="Open Sans" w:cs="Open Sans"/>
          <w:b/>
          <w:color w:val="143C78"/>
        </w:rPr>
      </w:pPr>
      <w:r w:rsidRPr="007E0B53">
        <w:rPr>
          <w:rFonts w:ascii="Open Sans" w:hAnsi="Open Sans" w:cs="Open Sans"/>
          <w:b/>
          <w:color w:val="143C78"/>
        </w:rPr>
        <w:t xml:space="preserve">Policy Statement </w:t>
      </w:r>
    </w:p>
    <w:p w14:paraId="65FE4083" w14:textId="442F002F" w:rsidR="003467A6" w:rsidRDefault="00A33CAE" w:rsidP="00442AB4">
      <w:pPr>
        <w:rPr>
          <w:rFonts w:ascii="Open Sans" w:hAnsi="Open Sans" w:cs="Open Sans"/>
          <w:bCs/>
          <w:color w:val="143C78"/>
          <w:sz w:val="22"/>
          <w:szCs w:val="22"/>
        </w:rPr>
      </w:pPr>
      <w:r>
        <w:rPr>
          <w:rFonts w:ascii="Open Sans" w:hAnsi="Open Sans" w:cs="Open Sans"/>
          <w:bCs/>
          <w:color w:val="143C78"/>
          <w:sz w:val="22"/>
          <w:szCs w:val="22"/>
        </w:rPr>
        <w:t>Sapphire Education</w:t>
      </w:r>
      <w:r w:rsidR="003467A6" w:rsidRPr="003467A6">
        <w:rPr>
          <w:rFonts w:ascii="Open Sans" w:hAnsi="Open Sans" w:cs="Open Sans"/>
          <w:bCs/>
          <w:color w:val="143C78"/>
          <w:sz w:val="22"/>
          <w:szCs w:val="22"/>
        </w:rPr>
        <w:t xml:space="preserve"> is committed to creating a working environment that is inclusive, fair and respectful where everyone is treated with dignity and has equal opportunity to contribute and succeed. We value diversity and are committed to preventing unlawful discrimination, harassment and victimisation in line with UK legislation. </w:t>
      </w:r>
    </w:p>
    <w:p w14:paraId="54EC1B86" w14:textId="77777777" w:rsidR="003467A6" w:rsidRPr="007E0B53" w:rsidRDefault="003467A6" w:rsidP="00442AB4">
      <w:pPr>
        <w:rPr>
          <w:rFonts w:ascii="Open Sans" w:hAnsi="Open Sans" w:cs="Open Sans"/>
          <w:b/>
          <w:color w:val="143C78"/>
        </w:rPr>
      </w:pPr>
      <w:r w:rsidRPr="007E0B53">
        <w:rPr>
          <w:rFonts w:ascii="Open Sans" w:hAnsi="Open Sans" w:cs="Open Sans"/>
          <w:b/>
          <w:color w:val="143C78"/>
        </w:rPr>
        <w:t xml:space="preserve">Scope of the Policy </w:t>
      </w:r>
    </w:p>
    <w:p w14:paraId="07FE2E7B" w14:textId="2DC8D7EE" w:rsidR="00A33CAE"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This policy applies to all employees. It applies to all aspects of employment including recruitment, pay, promotion, training, conduct at work, and the termination of employment. </w:t>
      </w:r>
    </w:p>
    <w:p w14:paraId="53A33DD3" w14:textId="77777777" w:rsidR="00A33CAE" w:rsidRPr="007E0B53" w:rsidRDefault="003467A6" w:rsidP="00442AB4">
      <w:pPr>
        <w:rPr>
          <w:rFonts w:ascii="Open Sans" w:hAnsi="Open Sans" w:cs="Open Sans"/>
          <w:b/>
          <w:color w:val="143C78"/>
        </w:rPr>
      </w:pPr>
      <w:r w:rsidRPr="007E0B53">
        <w:rPr>
          <w:rFonts w:ascii="Open Sans" w:hAnsi="Open Sans" w:cs="Open Sans"/>
          <w:b/>
          <w:color w:val="143C78"/>
        </w:rPr>
        <w:t xml:space="preserve">Protected Characteristics </w:t>
      </w:r>
    </w:p>
    <w:p w14:paraId="4A1C8479" w14:textId="77777777" w:rsidR="00A33CAE"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The protected characteristics under UK law are: </w:t>
      </w:r>
    </w:p>
    <w:p w14:paraId="4B325800" w14:textId="77777777" w:rsidR="00A33CAE"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Age </w:t>
      </w:r>
    </w:p>
    <w:p w14:paraId="36F9DAD8" w14:textId="0E796CC2" w:rsidR="00A33CAE"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Disability </w:t>
      </w:r>
    </w:p>
    <w:p w14:paraId="75B7F898" w14:textId="634E0DA4" w:rsidR="00A33CAE"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Gender reassignment </w:t>
      </w:r>
    </w:p>
    <w:p w14:paraId="4632C736"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Marriage and civil partnership </w:t>
      </w:r>
    </w:p>
    <w:p w14:paraId="75145C7A"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Pregnancy and maternity </w:t>
      </w:r>
    </w:p>
    <w:p w14:paraId="50267CC8"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Race (including colour, nationality, and ethnic or national origin) </w:t>
      </w:r>
    </w:p>
    <w:p w14:paraId="2D16CC0F"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Religion or belief </w:t>
      </w:r>
    </w:p>
    <w:p w14:paraId="1BD7D48D"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Sex </w:t>
      </w:r>
    </w:p>
    <w:p w14:paraId="5C9274CF" w14:textId="77777777" w:rsidR="007E0B53" w:rsidRDefault="003467A6" w:rsidP="00442AB4">
      <w:pPr>
        <w:rPr>
          <w:rFonts w:ascii="Open Sans" w:hAnsi="Open Sans" w:cs="Open Sans"/>
          <w:bCs/>
          <w:color w:val="143C78"/>
          <w:sz w:val="22"/>
          <w:szCs w:val="22"/>
        </w:rPr>
      </w:pPr>
      <w:r w:rsidRPr="003467A6">
        <w:rPr>
          <w:rFonts w:ascii="Open Sans" w:hAnsi="Open Sans" w:cs="Open Sans"/>
          <w:bCs/>
          <w:color w:val="143C78"/>
          <w:sz w:val="22"/>
          <w:szCs w:val="22"/>
        </w:rPr>
        <w:t xml:space="preserve">• Sexual orientation </w:t>
      </w:r>
    </w:p>
    <w:p w14:paraId="562D7F5A" w14:textId="77777777" w:rsidR="008E21E0" w:rsidRDefault="008E21E0" w:rsidP="00442AB4">
      <w:pPr>
        <w:rPr>
          <w:rFonts w:ascii="Open Sans" w:hAnsi="Open Sans" w:cs="Open Sans"/>
          <w:bCs/>
          <w:color w:val="143C78"/>
          <w:sz w:val="22"/>
          <w:szCs w:val="22"/>
        </w:rPr>
      </w:pPr>
      <w:r>
        <w:rPr>
          <w:rFonts w:ascii="Open Sans" w:hAnsi="Open Sans" w:cs="Open Sans"/>
          <w:bCs/>
          <w:color w:val="143C78"/>
          <w:sz w:val="22"/>
          <w:szCs w:val="22"/>
        </w:rPr>
        <w:t>Sapphire Education</w:t>
      </w:r>
      <w:r w:rsidR="003467A6" w:rsidRPr="003467A6">
        <w:rPr>
          <w:rFonts w:ascii="Open Sans" w:hAnsi="Open Sans" w:cs="Open Sans"/>
          <w:bCs/>
          <w:color w:val="143C78"/>
          <w:sz w:val="22"/>
          <w:szCs w:val="22"/>
        </w:rPr>
        <w:t xml:space="preserve"> will not tolerate discrimination on any of these grounds. </w:t>
      </w:r>
    </w:p>
    <w:p w14:paraId="0A07D0A0" w14:textId="77777777" w:rsidR="008E21E0" w:rsidRDefault="008E21E0" w:rsidP="00442AB4">
      <w:pPr>
        <w:rPr>
          <w:rFonts w:ascii="Open Sans" w:hAnsi="Open Sans" w:cs="Open Sans"/>
          <w:bCs/>
          <w:color w:val="143C78"/>
          <w:sz w:val="22"/>
          <w:szCs w:val="22"/>
        </w:rPr>
      </w:pPr>
    </w:p>
    <w:p w14:paraId="3E4A0972" w14:textId="77777777" w:rsidR="008E21E0" w:rsidRDefault="008E21E0" w:rsidP="00442AB4">
      <w:pPr>
        <w:rPr>
          <w:rFonts w:ascii="Open Sans" w:hAnsi="Open Sans" w:cs="Open Sans"/>
          <w:bCs/>
          <w:color w:val="143C78"/>
          <w:sz w:val="22"/>
          <w:szCs w:val="22"/>
        </w:rPr>
      </w:pPr>
    </w:p>
    <w:p w14:paraId="5CE9DA57" w14:textId="68DB4099" w:rsidR="008E21E0" w:rsidRPr="008E21E0" w:rsidRDefault="003467A6" w:rsidP="00442AB4">
      <w:pPr>
        <w:rPr>
          <w:rFonts w:ascii="Open Sans" w:hAnsi="Open Sans" w:cs="Open Sans"/>
          <w:b/>
          <w:color w:val="143C78"/>
        </w:rPr>
      </w:pPr>
      <w:r w:rsidRPr="008E21E0">
        <w:rPr>
          <w:rFonts w:ascii="Open Sans" w:hAnsi="Open Sans" w:cs="Open Sans"/>
          <w:b/>
          <w:color w:val="143C78"/>
        </w:rPr>
        <w:lastRenderedPageBreak/>
        <w:t xml:space="preserve">Forms of Discrimination </w:t>
      </w:r>
    </w:p>
    <w:p w14:paraId="7635CBB9" w14:textId="77777777" w:rsidR="008E21E0" w:rsidRDefault="008E21E0" w:rsidP="00442AB4">
      <w:pPr>
        <w:rPr>
          <w:rFonts w:ascii="Open Sans" w:hAnsi="Open Sans" w:cs="Open Sans"/>
          <w:bCs/>
          <w:color w:val="143C78"/>
          <w:sz w:val="22"/>
          <w:szCs w:val="22"/>
        </w:rPr>
      </w:pPr>
      <w:r>
        <w:rPr>
          <w:rFonts w:ascii="Open Sans" w:hAnsi="Open Sans" w:cs="Open Sans"/>
          <w:bCs/>
          <w:color w:val="143C78"/>
          <w:sz w:val="22"/>
          <w:szCs w:val="22"/>
        </w:rPr>
        <w:t>Sapphire Education</w:t>
      </w:r>
      <w:r w:rsidR="003467A6" w:rsidRPr="003467A6">
        <w:rPr>
          <w:rFonts w:ascii="Open Sans" w:hAnsi="Open Sans" w:cs="Open Sans"/>
          <w:bCs/>
          <w:color w:val="143C78"/>
          <w:sz w:val="22"/>
          <w:szCs w:val="22"/>
        </w:rPr>
        <w:t xml:space="preserve"> recognises and prohibits: </w:t>
      </w:r>
    </w:p>
    <w:p w14:paraId="7C8DDE93" w14:textId="1D4660BB" w:rsidR="0059719E" w:rsidRDefault="003467A6" w:rsidP="0059719E">
      <w:pPr>
        <w:pStyle w:val="ListParagraph"/>
        <w:numPr>
          <w:ilvl w:val="0"/>
          <w:numId w:val="15"/>
        </w:numPr>
        <w:rPr>
          <w:rFonts w:ascii="Open Sans" w:hAnsi="Open Sans" w:cs="Open Sans"/>
          <w:bCs/>
          <w:color w:val="143C78"/>
          <w:sz w:val="22"/>
          <w:szCs w:val="22"/>
        </w:rPr>
      </w:pPr>
      <w:r w:rsidRPr="008E21E0">
        <w:rPr>
          <w:rFonts w:ascii="Open Sans" w:hAnsi="Open Sans" w:cs="Open Sans"/>
          <w:bCs/>
          <w:color w:val="143C78"/>
          <w:sz w:val="22"/>
          <w:szCs w:val="22"/>
        </w:rPr>
        <w:t>Direct discrimination characteristic – treati</w:t>
      </w:r>
      <w:r w:rsidR="009A6C42" w:rsidRPr="0059719E">
        <w:rPr>
          <w:rFonts w:ascii="Open Sans" w:hAnsi="Open Sans" w:cs="Open Sans"/>
          <w:bCs/>
          <w:color w:val="143C78"/>
          <w:sz w:val="22"/>
          <w:szCs w:val="22"/>
        </w:rPr>
        <w:t>ng someone less favourably because of a protected</w:t>
      </w:r>
      <w:r w:rsidRPr="008E21E0">
        <w:rPr>
          <w:rFonts w:ascii="Open Sans" w:hAnsi="Open Sans" w:cs="Open Sans"/>
          <w:bCs/>
          <w:color w:val="143C78"/>
          <w:sz w:val="22"/>
          <w:szCs w:val="22"/>
        </w:rPr>
        <w:t xml:space="preserve"> </w:t>
      </w:r>
      <w:r w:rsidR="009A6C42">
        <w:rPr>
          <w:rFonts w:ascii="Open Sans" w:hAnsi="Open Sans" w:cs="Open Sans"/>
          <w:bCs/>
          <w:color w:val="143C78"/>
          <w:sz w:val="22"/>
          <w:szCs w:val="22"/>
        </w:rPr>
        <w:t>characteristic</w:t>
      </w:r>
    </w:p>
    <w:p w14:paraId="13AC6227" w14:textId="77777777" w:rsidR="00BC6D27" w:rsidRDefault="003467A6" w:rsidP="0059719E">
      <w:pPr>
        <w:pStyle w:val="ListParagraph"/>
        <w:numPr>
          <w:ilvl w:val="0"/>
          <w:numId w:val="15"/>
        </w:numPr>
        <w:rPr>
          <w:rFonts w:ascii="Open Sans" w:hAnsi="Open Sans" w:cs="Open Sans"/>
          <w:bCs/>
          <w:color w:val="143C78"/>
          <w:sz w:val="22"/>
          <w:szCs w:val="22"/>
        </w:rPr>
      </w:pPr>
      <w:r w:rsidRPr="0059719E">
        <w:rPr>
          <w:rFonts w:ascii="Open Sans" w:hAnsi="Open Sans" w:cs="Open Sans"/>
          <w:bCs/>
          <w:color w:val="143C78"/>
          <w:sz w:val="22"/>
          <w:szCs w:val="22"/>
        </w:rPr>
        <w:t xml:space="preserve">Indirect discrimination – applying a rule or practice that disadvantages a particular group without lawful justification </w:t>
      </w:r>
    </w:p>
    <w:p w14:paraId="4253DF52" w14:textId="77777777" w:rsidR="00BC6D27" w:rsidRDefault="003467A6" w:rsidP="0059719E">
      <w:pPr>
        <w:pStyle w:val="ListParagraph"/>
        <w:numPr>
          <w:ilvl w:val="0"/>
          <w:numId w:val="15"/>
        </w:numPr>
        <w:rPr>
          <w:rFonts w:ascii="Open Sans" w:hAnsi="Open Sans" w:cs="Open Sans"/>
          <w:bCs/>
          <w:color w:val="143C78"/>
          <w:sz w:val="22"/>
          <w:szCs w:val="22"/>
        </w:rPr>
      </w:pPr>
      <w:r w:rsidRPr="0059719E">
        <w:rPr>
          <w:rFonts w:ascii="Open Sans" w:hAnsi="Open Sans" w:cs="Open Sans"/>
          <w:bCs/>
          <w:color w:val="143C78"/>
          <w:sz w:val="22"/>
          <w:szCs w:val="22"/>
        </w:rPr>
        <w:t xml:space="preserve">Harassment – unwanted behaviour related to a protected characteristic that violates dignity or creates an intimidating or offensive environment </w:t>
      </w:r>
    </w:p>
    <w:p w14:paraId="3457E4D5" w14:textId="77777777" w:rsidR="003C3BC4" w:rsidRDefault="003467A6" w:rsidP="0059719E">
      <w:pPr>
        <w:pStyle w:val="ListParagraph"/>
        <w:numPr>
          <w:ilvl w:val="0"/>
          <w:numId w:val="15"/>
        </w:numPr>
        <w:rPr>
          <w:rFonts w:ascii="Open Sans" w:hAnsi="Open Sans" w:cs="Open Sans"/>
          <w:bCs/>
          <w:color w:val="143C78"/>
          <w:sz w:val="22"/>
          <w:szCs w:val="22"/>
        </w:rPr>
      </w:pPr>
      <w:r w:rsidRPr="0059719E">
        <w:rPr>
          <w:rFonts w:ascii="Open Sans" w:hAnsi="Open Sans" w:cs="Open Sans"/>
          <w:bCs/>
          <w:color w:val="143C78"/>
          <w:sz w:val="22"/>
          <w:szCs w:val="22"/>
        </w:rPr>
        <w:t xml:space="preserve">Victimisation – treating someone unfairly because they have made or supported a complaint </w:t>
      </w:r>
    </w:p>
    <w:p w14:paraId="22FD657D" w14:textId="77777777" w:rsidR="003C3BC4" w:rsidRPr="003C3BC4" w:rsidRDefault="003467A6" w:rsidP="003C3BC4">
      <w:pPr>
        <w:rPr>
          <w:rFonts w:ascii="Open Sans" w:hAnsi="Open Sans" w:cs="Open Sans"/>
          <w:b/>
          <w:color w:val="143C78"/>
        </w:rPr>
      </w:pPr>
      <w:r w:rsidRPr="003C3BC4">
        <w:rPr>
          <w:rFonts w:ascii="Open Sans" w:hAnsi="Open Sans" w:cs="Open Sans"/>
          <w:b/>
          <w:color w:val="143C78"/>
        </w:rPr>
        <w:t xml:space="preserve">Equal Opportunities in Employment </w:t>
      </w:r>
    </w:p>
    <w:p w14:paraId="6531EF96" w14:textId="77777777" w:rsidR="00BE3764" w:rsidRPr="00BE3764" w:rsidRDefault="003467A6" w:rsidP="00BE3764">
      <w:pPr>
        <w:rPr>
          <w:rFonts w:ascii="Open Sans" w:hAnsi="Open Sans" w:cs="Open Sans"/>
          <w:bCs/>
          <w:color w:val="143C78"/>
          <w:sz w:val="22"/>
          <w:szCs w:val="22"/>
        </w:rPr>
      </w:pPr>
      <w:r w:rsidRPr="00BE3764">
        <w:rPr>
          <w:rFonts w:ascii="Open Sans" w:hAnsi="Open Sans" w:cs="Open Sans"/>
          <w:bCs/>
          <w:color w:val="143C78"/>
          <w:sz w:val="22"/>
          <w:szCs w:val="22"/>
        </w:rPr>
        <w:t xml:space="preserve">Employment decisions will be based on </w:t>
      </w:r>
      <w:r w:rsidR="00ED4BB8" w:rsidRPr="00BE3764">
        <w:rPr>
          <w:rFonts w:ascii="Open Sans" w:hAnsi="Open Sans" w:cs="Open Sans"/>
          <w:bCs/>
          <w:color w:val="143C78"/>
          <w:sz w:val="22"/>
          <w:szCs w:val="22"/>
        </w:rPr>
        <w:t>merit, skills and business needs</w:t>
      </w:r>
      <w:r w:rsidR="00ED4BB8" w:rsidRPr="00BE3764">
        <w:rPr>
          <w:rFonts w:ascii="Open Sans" w:hAnsi="Open Sans" w:cs="Open Sans"/>
          <w:bCs/>
          <w:color w:val="143C78"/>
          <w:sz w:val="22"/>
          <w:szCs w:val="22"/>
        </w:rPr>
        <w:t xml:space="preserve">.  </w:t>
      </w:r>
      <w:r w:rsidRPr="00BE3764">
        <w:rPr>
          <w:rFonts w:ascii="Open Sans" w:hAnsi="Open Sans" w:cs="Open Sans"/>
          <w:bCs/>
          <w:color w:val="143C78"/>
          <w:sz w:val="22"/>
          <w:szCs w:val="22"/>
        </w:rPr>
        <w:t xml:space="preserve">This applies to: </w:t>
      </w:r>
    </w:p>
    <w:p w14:paraId="2AB3A560" w14:textId="0C9FB00F" w:rsidR="00ED4BB8"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Recruitment and selection </w:t>
      </w:r>
    </w:p>
    <w:p w14:paraId="37292440" w14:textId="77777777" w:rsidR="00ED4BB8"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Pay, benefits and working arrangements </w:t>
      </w:r>
    </w:p>
    <w:p w14:paraId="3A646D62" w14:textId="77777777" w:rsidR="00ED4BB8"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Training and development </w:t>
      </w:r>
    </w:p>
    <w:p w14:paraId="14331771" w14:textId="77777777" w:rsidR="00ED4BB8"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Promotion and progression </w:t>
      </w:r>
    </w:p>
    <w:p w14:paraId="3B37170E" w14:textId="77777777" w:rsidR="00ED4BB8"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Performance management </w:t>
      </w:r>
    </w:p>
    <w:p w14:paraId="08A0FBC5" w14:textId="77777777" w:rsidR="00BE3764" w:rsidRDefault="003467A6" w:rsidP="00ED4BB8">
      <w:pPr>
        <w:pStyle w:val="ListParagraph"/>
        <w:numPr>
          <w:ilvl w:val="0"/>
          <w:numId w:val="16"/>
        </w:numPr>
        <w:rPr>
          <w:rFonts w:ascii="Open Sans" w:hAnsi="Open Sans" w:cs="Open Sans"/>
          <w:bCs/>
          <w:color w:val="143C78"/>
          <w:sz w:val="22"/>
          <w:szCs w:val="22"/>
        </w:rPr>
      </w:pPr>
      <w:r w:rsidRPr="00ED4BB8">
        <w:rPr>
          <w:rFonts w:ascii="Open Sans" w:hAnsi="Open Sans" w:cs="Open Sans"/>
          <w:bCs/>
          <w:color w:val="143C78"/>
          <w:sz w:val="22"/>
          <w:szCs w:val="22"/>
        </w:rPr>
        <w:t xml:space="preserve">Redundancy and dismissal </w:t>
      </w:r>
    </w:p>
    <w:p w14:paraId="6CD538BE" w14:textId="77777777" w:rsidR="00BE3764" w:rsidRDefault="003467A6" w:rsidP="00BE3764">
      <w:pPr>
        <w:rPr>
          <w:rFonts w:ascii="Open Sans" w:hAnsi="Open Sans" w:cs="Open Sans"/>
          <w:bCs/>
          <w:color w:val="143C78"/>
          <w:sz w:val="22"/>
          <w:szCs w:val="22"/>
        </w:rPr>
      </w:pPr>
      <w:r w:rsidRPr="00BE3764">
        <w:rPr>
          <w:rFonts w:ascii="Open Sans" w:hAnsi="Open Sans" w:cs="Open Sans"/>
          <w:bCs/>
          <w:color w:val="143C78"/>
          <w:sz w:val="22"/>
          <w:szCs w:val="22"/>
        </w:rPr>
        <w:t xml:space="preserve">Reasonable adjustments will be made for disabled employees and candidates where required by law. </w:t>
      </w:r>
    </w:p>
    <w:p w14:paraId="46F18EFD" w14:textId="77777777" w:rsidR="00BE3764" w:rsidRPr="00BE3764" w:rsidRDefault="003467A6" w:rsidP="00BE3764">
      <w:pPr>
        <w:rPr>
          <w:rFonts w:ascii="Open Sans" w:hAnsi="Open Sans" w:cs="Open Sans"/>
          <w:b/>
          <w:color w:val="143C78"/>
        </w:rPr>
      </w:pPr>
      <w:r w:rsidRPr="00BE3764">
        <w:rPr>
          <w:rFonts w:ascii="Open Sans" w:hAnsi="Open Sans" w:cs="Open Sans"/>
          <w:b/>
          <w:color w:val="143C78"/>
        </w:rPr>
        <w:t xml:space="preserve">Inclusion and Respect at Work </w:t>
      </w:r>
    </w:p>
    <w:p w14:paraId="13C5D83B" w14:textId="77777777" w:rsidR="00BE3764" w:rsidRDefault="00BE3764" w:rsidP="00BE3764">
      <w:pPr>
        <w:rPr>
          <w:rFonts w:ascii="Open Sans" w:hAnsi="Open Sans" w:cs="Open Sans"/>
          <w:bCs/>
          <w:color w:val="143C78"/>
          <w:sz w:val="22"/>
          <w:szCs w:val="22"/>
        </w:rPr>
      </w:pPr>
      <w:r>
        <w:rPr>
          <w:rFonts w:ascii="Open Sans" w:hAnsi="Open Sans" w:cs="Open Sans"/>
          <w:bCs/>
          <w:color w:val="143C78"/>
          <w:sz w:val="22"/>
          <w:szCs w:val="22"/>
        </w:rPr>
        <w:t xml:space="preserve">Sapphire Education </w:t>
      </w:r>
      <w:r w:rsidR="003467A6" w:rsidRPr="00BE3764">
        <w:rPr>
          <w:rFonts w:ascii="Open Sans" w:hAnsi="Open Sans" w:cs="Open Sans"/>
          <w:bCs/>
          <w:color w:val="143C78"/>
          <w:sz w:val="22"/>
          <w:szCs w:val="22"/>
        </w:rPr>
        <w:t xml:space="preserve">expects all individuals to: </w:t>
      </w:r>
    </w:p>
    <w:p w14:paraId="3BB2CE89" w14:textId="0383D989" w:rsidR="001B2ECC" w:rsidRDefault="003467A6" w:rsidP="00BE3764">
      <w:pPr>
        <w:pStyle w:val="ListParagraph"/>
        <w:numPr>
          <w:ilvl w:val="0"/>
          <w:numId w:val="17"/>
        </w:numPr>
        <w:rPr>
          <w:rFonts w:ascii="Open Sans" w:hAnsi="Open Sans" w:cs="Open Sans"/>
          <w:bCs/>
          <w:color w:val="143C78"/>
          <w:sz w:val="22"/>
          <w:szCs w:val="22"/>
        </w:rPr>
      </w:pPr>
      <w:r w:rsidRPr="00BE3764">
        <w:rPr>
          <w:rFonts w:ascii="Open Sans" w:hAnsi="Open Sans" w:cs="Open Sans"/>
          <w:bCs/>
          <w:color w:val="143C78"/>
          <w:sz w:val="22"/>
          <w:szCs w:val="22"/>
        </w:rPr>
        <w:t>Treat colleagues, customers</w:t>
      </w:r>
      <w:r w:rsidR="001B2ECC">
        <w:rPr>
          <w:rFonts w:ascii="Open Sans" w:hAnsi="Open Sans" w:cs="Open Sans"/>
          <w:bCs/>
          <w:color w:val="143C78"/>
          <w:sz w:val="22"/>
          <w:szCs w:val="22"/>
        </w:rPr>
        <w:t>, students</w:t>
      </w:r>
      <w:r w:rsidRPr="00BE3764">
        <w:rPr>
          <w:rFonts w:ascii="Open Sans" w:hAnsi="Open Sans" w:cs="Open Sans"/>
          <w:bCs/>
          <w:color w:val="143C78"/>
          <w:sz w:val="22"/>
          <w:szCs w:val="22"/>
        </w:rPr>
        <w:t xml:space="preserve"> and contacts with respect </w:t>
      </w:r>
    </w:p>
    <w:p w14:paraId="2BEF0CAF" w14:textId="77777777" w:rsidR="001B2ECC" w:rsidRDefault="003467A6" w:rsidP="00BE3764">
      <w:pPr>
        <w:pStyle w:val="ListParagraph"/>
        <w:numPr>
          <w:ilvl w:val="0"/>
          <w:numId w:val="17"/>
        </w:numPr>
        <w:rPr>
          <w:rFonts w:ascii="Open Sans" w:hAnsi="Open Sans" w:cs="Open Sans"/>
          <w:bCs/>
          <w:color w:val="143C78"/>
          <w:sz w:val="22"/>
          <w:szCs w:val="22"/>
        </w:rPr>
      </w:pPr>
      <w:r w:rsidRPr="00BE3764">
        <w:rPr>
          <w:rFonts w:ascii="Open Sans" w:hAnsi="Open Sans" w:cs="Open Sans"/>
          <w:bCs/>
          <w:color w:val="143C78"/>
          <w:sz w:val="22"/>
          <w:szCs w:val="22"/>
        </w:rPr>
        <w:t xml:space="preserve">Support an inclusive working culture </w:t>
      </w:r>
    </w:p>
    <w:p w14:paraId="323757FE" w14:textId="77777777" w:rsidR="001B2ECC" w:rsidRDefault="003467A6" w:rsidP="00BE3764">
      <w:pPr>
        <w:pStyle w:val="ListParagraph"/>
        <w:numPr>
          <w:ilvl w:val="0"/>
          <w:numId w:val="17"/>
        </w:numPr>
        <w:rPr>
          <w:rFonts w:ascii="Open Sans" w:hAnsi="Open Sans" w:cs="Open Sans"/>
          <w:bCs/>
          <w:color w:val="143C78"/>
          <w:sz w:val="22"/>
          <w:szCs w:val="22"/>
        </w:rPr>
      </w:pPr>
      <w:r w:rsidRPr="00BE3764">
        <w:rPr>
          <w:rFonts w:ascii="Open Sans" w:hAnsi="Open Sans" w:cs="Open Sans"/>
          <w:bCs/>
          <w:color w:val="143C78"/>
          <w:sz w:val="22"/>
          <w:szCs w:val="22"/>
        </w:rPr>
        <w:t xml:space="preserve">Challenge inappropriate behaviour where safe to do so </w:t>
      </w:r>
    </w:p>
    <w:p w14:paraId="459C8BBB" w14:textId="77777777" w:rsidR="001B2ECC" w:rsidRDefault="003467A6" w:rsidP="001B2ECC">
      <w:pPr>
        <w:rPr>
          <w:rFonts w:ascii="Open Sans" w:hAnsi="Open Sans" w:cs="Open Sans"/>
          <w:bCs/>
          <w:color w:val="143C78"/>
          <w:sz w:val="22"/>
          <w:szCs w:val="22"/>
        </w:rPr>
      </w:pPr>
      <w:r w:rsidRPr="001B2ECC">
        <w:rPr>
          <w:rFonts w:ascii="Open Sans" w:hAnsi="Open Sans" w:cs="Open Sans"/>
          <w:bCs/>
          <w:color w:val="143C78"/>
          <w:sz w:val="22"/>
          <w:szCs w:val="22"/>
        </w:rPr>
        <w:t xml:space="preserve">Bullying, discrimination, or harassment of any kind will be treated as a serious disciplinary matter. </w:t>
      </w:r>
    </w:p>
    <w:p w14:paraId="7A355D22" w14:textId="77777777" w:rsidR="001B2ECC" w:rsidRPr="001B2ECC" w:rsidRDefault="003467A6" w:rsidP="001B2ECC">
      <w:pPr>
        <w:rPr>
          <w:rFonts w:ascii="Open Sans" w:hAnsi="Open Sans" w:cs="Open Sans"/>
          <w:b/>
          <w:color w:val="143C78"/>
        </w:rPr>
      </w:pPr>
      <w:r w:rsidRPr="001B2ECC">
        <w:rPr>
          <w:rFonts w:ascii="Open Sans" w:hAnsi="Open Sans" w:cs="Open Sans"/>
          <w:b/>
          <w:color w:val="143C78"/>
        </w:rPr>
        <w:t xml:space="preserve">Inclusive Language Statement </w:t>
      </w:r>
    </w:p>
    <w:p w14:paraId="1DAE2DEC" w14:textId="77777777" w:rsidR="00561E1E" w:rsidRDefault="001B2ECC" w:rsidP="001B2ECC">
      <w:pPr>
        <w:rPr>
          <w:rFonts w:ascii="Open Sans" w:hAnsi="Open Sans" w:cs="Open Sans"/>
          <w:bCs/>
          <w:color w:val="143C78"/>
          <w:sz w:val="22"/>
          <w:szCs w:val="22"/>
        </w:rPr>
      </w:pPr>
      <w:r>
        <w:rPr>
          <w:rFonts w:ascii="Open Sans" w:hAnsi="Open Sans" w:cs="Open Sans"/>
          <w:bCs/>
          <w:color w:val="143C78"/>
          <w:sz w:val="22"/>
          <w:szCs w:val="22"/>
        </w:rPr>
        <w:t>Sapphire Education</w:t>
      </w:r>
      <w:r w:rsidR="003467A6" w:rsidRPr="001B2ECC">
        <w:rPr>
          <w:rFonts w:ascii="Open Sans" w:hAnsi="Open Sans" w:cs="Open Sans"/>
          <w:bCs/>
          <w:color w:val="143C78"/>
          <w:sz w:val="22"/>
          <w:szCs w:val="22"/>
        </w:rPr>
        <w:t xml:space="preserve"> is committed to using inclusive, respectful and non-discriminatory language in all workplace communications, including policies, emails, meetings and </w:t>
      </w:r>
      <w:r w:rsidR="003467A6" w:rsidRPr="001B2ECC">
        <w:rPr>
          <w:rFonts w:ascii="Open Sans" w:hAnsi="Open Sans" w:cs="Open Sans"/>
          <w:bCs/>
          <w:color w:val="143C78"/>
          <w:sz w:val="22"/>
          <w:szCs w:val="22"/>
        </w:rPr>
        <w:lastRenderedPageBreak/>
        <w:t xml:space="preserve">informal interactions. We recognise that understanding and use of inclusive language continue to evolve, and that individuals may make mistakes despite acting in good faith. Employees are therefore expected to approach this area with care, openness and tolerance, while also being willing to listen, learn and adapt when concerns are raised. Where language or behaviour is experienced as inappropriate or exclusionary, this should be raised respectfully so it can be addressed constructively. </w:t>
      </w:r>
    </w:p>
    <w:p w14:paraId="0FF0AAF6" w14:textId="5A131AF3" w:rsidR="00367D51" w:rsidRDefault="003467A6" w:rsidP="001B2ECC">
      <w:pPr>
        <w:rPr>
          <w:rFonts w:ascii="Open Sans" w:hAnsi="Open Sans" w:cs="Open Sans"/>
          <w:bCs/>
          <w:color w:val="143C78"/>
          <w:sz w:val="22"/>
          <w:szCs w:val="22"/>
        </w:rPr>
      </w:pPr>
      <w:r w:rsidRPr="001B2ECC">
        <w:rPr>
          <w:rFonts w:ascii="Open Sans" w:hAnsi="Open Sans" w:cs="Open Sans"/>
          <w:bCs/>
          <w:color w:val="143C78"/>
          <w:sz w:val="22"/>
          <w:szCs w:val="22"/>
        </w:rPr>
        <w:t xml:space="preserve">Language that is deliberately offensive, discriminatory, or repeated after concerns have been highlighted will not be tolerated and may be treated as a disciplinary matter. Managers are expected to promote inclusive communication by example and to handle any issues proportionately, fairly and sensitively. </w:t>
      </w:r>
    </w:p>
    <w:p w14:paraId="5E901F71" w14:textId="77777777" w:rsidR="00367D51" w:rsidRPr="00367D51" w:rsidRDefault="003467A6" w:rsidP="001B2ECC">
      <w:pPr>
        <w:rPr>
          <w:rFonts w:ascii="Open Sans" w:hAnsi="Open Sans" w:cs="Open Sans"/>
          <w:b/>
          <w:color w:val="143C78"/>
        </w:rPr>
      </w:pPr>
      <w:r w:rsidRPr="00367D51">
        <w:rPr>
          <w:rFonts w:ascii="Open Sans" w:hAnsi="Open Sans" w:cs="Open Sans"/>
          <w:b/>
          <w:color w:val="143C78"/>
        </w:rPr>
        <w:t xml:space="preserve">Responsibilities </w:t>
      </w:r>
    </w:p>
    <w:p w14:paraId="7854340C" w14:textId="77777777" w:rsidR="00367D51" w:rsidRPr="00367D51" w:rsidRDefault="003467A6" w:rsidP="001B2ECC">
      <w:pPr>
        <w:rPr>
          <w:rFonts w:ascii="Open Sans" w:hAnsi="Open Sans" w:cs="Open Sans"/>
          <w:b/>
          <w:color w:val="143C78"/>
          <w:sz w:val="22"/>
          <w:szCs w:val="22"/>
        </w:rPr>
      </w:pPr>
      <w:r w:rsidRPr="00367D51">
        <w:rPr>
          <w:rFonts w:ascii="Open Sans" w:hAnsi="Open Sans" w:cs="Open Sans"/>
          <w:b/>
          <w:color w:val="143C78"/>
          <w:sz w:val="22"/>
          <w:szCs w:val="22"/>
        </w:rPr>
        <w:t xml:space="preserve">Employees </w:t>
      </w:r>
    </w:p>
    <w:p w14:paraId="15E34715" w14:textId="77777777" w:rsidR="00367D51" w:rsidRDefault="003467A6" w:rsidP="001B2ECC">
      <w:pPr>
        <w:rPr>
          <w:rFonts w:ascii="Open Sans" w:hAnsi="Open Sans" w:cs="Open Sans"/>
          <w:bCs/>
          <w:color w:val="143C78"/>
          <w:sz w:val="22"/>
          <w:szCs w:val="22"/>
        </w:rPr>
      </w:pPr>
      <w:r w:rsidRPr="001B2ECC">
        <w:rPr>
          <w:rFonts w:ascii="Open Sans" w:hAnsi="Open Sans" w:cs="Open Sans"/>
          <w:bCs/>
          <w:color w:val="143C78"/>
          <w:sz w:val="22"/>
          <w:szCs w:val="22"/>
        </w:rPr>
        <w:t xml:space="preserve">All employees are responsible for: </w:t>
      </w:r>
    </w:p>
    <w:p w14:paraId="1B7141A0" w14:textId="77777777" w:rsidR="00367D51" w:rsidRDefault="003467A6" w:rsidP="00367D51">
      <w:pPr>
        <w:pStyle w:val="ListParagraph"/>
        <w:numPr>
          <w:ilvl w:val="0"/>
          <w:numId w:val="18"/>
        </w:numPr>
        <w:rPr>
          <w:rFonts w:ascii="Open Sans" w:hAnsi="Open Sans" w:cs="Open Sans"/>
          <w:bCs/>
          <w:color w:val="143C78"/>
          <w:sz w:val="22"/>
          <w:szCs w:val="22"/>
        </w:rPr>
      </w:pPr>
      <w:r w:rsidRPr="00367D51">
        <w:rPr>
          <w:rFonts w:ascii="Open Sans" w:hAnsi="Open Sans" w:cs="Open Sans"/>
          <w:bCs/>
          <w:color w:val="143C78"/>
          <w:sz w:val="22"/>
          <w:szCs w:val="22"/>
        </w:rPr>
        <w:t xml:space="preserve">Acting in line with this policy </w:t>
      </w:r>
    </w:p>
    <w:p w14:paraId="49C206FF" w14:textId="77777777" w:rsidR="00536C94" w:rsidRDefault="003467A6" w:rsidP="00367D51">
      <w:pPr>
        <w:pStyle w:val="ListParagraph"/>
        <w:numPr>
          <w:ilvl w:val="0"/>
          <w:numId w:val="18"/>
        </w:numPr>
        <w:rPr>
          <w:rFonts w:ascii="Open Sans" w:hAnsi="Open Sans" w:cs="Open Sans"/>
          <w:bCs/>
          <w:color w:val="143C78"/>
          <w:sz w:val="22"/>
          <w:szCs w:val="22"/>
        </w:rPr>
      </w:pPr>
      <w:r w:rsidRPr="00367D51">
        <w:rPr>
          <w:rFonts w:ascii="Open Sans" w:hAnsi="Open Sans" w:cs="Open Sans"/>
          <w:bCs/>
          <w:color w:val="143C78"/>
          <w:sz w:val="22"/>
          <w:szCs w:val="22"/>
        </w:rPr>
        <w:t xml:space="preserve">Respecting differences </w:t>
      </w:r>
    </w:p>
    <w:p w14:paraId="34886C35" w14:textId="77777777" w:rsidR="00536C94" w:rsidRDefault="003467A6" w:rsidP="00367D51">
      <w:pPr>
        <w:pStyle w:val="ListParagraph"/>
        <w:numPr>
          <w:ilvl w:val="0"/>
          <w:numId w:val="18"/>
        </w:numPr>
        <w:rPr>
          <w:rFonts w:ascii="Open Sans" w:hAnsi="Open Sans" w:cs="Open Sans"/>
          <w:bCs/>
          <w:color w:val="143C78"/>
          <w:sz w:val="22"/>
          <w:szCs w:val="22"/>
        </w:rPr>
      </w:pPr>
      <w:r w:rsidRPr="00367D51">
        <w:rPr>
          <w:rFonts w:ascii="Open Sans" w:hAnsi="Open Sans" w:cs="Open Sans"/>
          <w:bCs/>
          <w:color w:val="143C78"/>
          <w:sz w:val="22"/>
          <w:szCs w:val="22"/>
        </w:rPr>
        <w:t xml:space="preserve">Not engaging in discriminatory or offensive behaviour </w:t>
      </w:r>
    </w:p>
    <w:p w14:paraId="4E5F8438" w14:textId="77777777" w:rsidR="00536C94" w:rsidRPr="00536C94" w:rsidRDefault="003467A6" w:rsidP="00536C94">
      <w:pPr>
        <w:rPr>
          <w:rFonts w:ascii="Open Sans" w:hAnsi="Open Sans" w:cs="Open Sans"/>
          <w:b/>
          <w:color w:val="143C78"/>
          <w:sz w:val="22"/>
          <w:szCs w:val="22"/>
        </w:rPr>
      </w:pPr>
      <w:r w:rsidRPr="00536C94">
        <w:rPr>
          <w:rFonts w:ascii="Open Sans" w:hAnsi="Open Sans" w:cs="Open Sans"/>
          <w:b/>
          <w:color w:val="143C78"/>
          <w:sz w:val="22"/>
          <w:szCs w:val="22"/>
        </w:rPr>
        <w:t xml:space="preserve">Managers </w:t>
      </w:r>
    </w:p>
    <w:p w14:paraId="253CAA8A" w14:textId="77777777" w:rsidR="00536C94" w:rsidRDefault="003467A6" w:rsidP="00536C94">
      <w:pPr>
        <w:rPr>
          <w:rFonts w:ascii="Open Sans" w:hAnsi="Open Sans" w:cs="Open Sans"/>
          <w:bCs/>
          <w:color w:val="143C78"/>
          <w:sz w:val="22"/>
          <w:szCs w:val="22"/>
        </w:rPr>
      </w:pPr>
      <w:r w:rsidRPr="00536C94">
        <w:rPr>
          <w:rFonts w:ascii="Open Sans" w:hAnsi="Open Sans" w:cs="Open Sans"/>
          <w:bCs/>
          <w:color w:val="143C78"/>
          <w:sz w:val="22"/>
          <w:szCs w:val="22"/>
        </w:rPr>
        <w:t xml:space="preserve">Managers are responsible for: </w:t>
      </w:r>
    </w:p>
    <w:p w14:paraId="76991742" w14:textId="77777777" w:rsidR="00536C94" w:rsidRDefault="003467A6" w:rsidP="00536C94">
      <w:pPr>
        <w:pStyle w:val="ListParagraph"/>
        <w:numPr>
          <w:ilvl w:val="0"/>
          <w:numId w:val="19"/>
        </w:numPr>
        <w:rPr>
          <w:rFonts w:ascii="Open Sans" w:hAnsi="Open Sans" w:cs="Open Sans"/>
          <w:bCs/>
          <w:color w:val="143C78"/>
          <w:sz w:val="22"/>
          <w:szCs w:val="22"/>
        </w:rPr>
      </w:pPr>
      <w:r w:rsidRPr="00536C94">
        <w:rPr>
          <w:rFonts w:ascii="Open Sans" w:hAnsi="Open Sans" w:cs="Open Sans"/>
          <w:bCs/>
          <w:color w:val="143C78"/>
          <w:sz w:val="22"/>
          <w:szCs w:val="22"/>
        </w:rPr>
        <w:t xml:space="preserve">Leading by example </w:t>
      </w:r>
    </w:p>
    <w:p w14:paraId="0FBA051C" w14:textId="77777777" w:rsidR="00AF2CDF" w:rsidRDefault="003467A6" w:rsidP="00AF2CDF">
      <w:pPr>
        <w:pStyle w:val="ListParagraph"/>
        <w:numPr>
          <w:ilvl w:val="0"/>
          <w:numId w:val="19"/>
        </w:numPr>
        <w:rPr>
          <w:rFonts w:ascii="Open Sans" w:hAnsi="Open Sans" w:cs="Open Sans"/>
          <w:bCs/>
          <w:color w:val="143C78"/>
          <w:sz w:val="22"/>
          <w:szCs w:val="22"/>
        </w:rPr>
      </w:pPr>
      <w:r w:rsidRPr="00536C94">
        <w:rPr>
          <w:rFonts w:ascii="Open Sans" w:hAnsi="Open Sans" w:cs="Open Sans"/>
          <w:bCs/>
          <w:color w:val="143C78"/>
          <w:sz w:val="22"/>
          <w:szCs w:val="22"/>
        </w:rPr>
        <w:t xml:space="preserve">Applying this policy fairly and consistently </w:t>
      </w:r>
    </w:p>
    <w:p w14:paraId="5E6FD42C" w14:textId="77777777" w:rsidR="00AF2CDF" w:rsidRDefault="003467A6" w:rsidP="00AF2CDF">
      <w:pPr>
        <w:pStyle w:val="ListParagraph"/>
        <w:numPr>
          <w:ilvl w:val="0"/>
          <w:numId w:val="19"/>
        </w:numPr>
        <w:rPr>
          <w:rFonts w:ascii="Open Sans" w:hAnsi="Open Sans" w:cs="Open Sans"/>
          <w:bCs/>
          <w:color w:val="143C78"/>
          <w:sz w:val="22"/>
          <w:szCs w:val="22"/>
        </w:rPr>
      </w:pPr>
      <w:r w:rsidRPr="00AF2CDF">
        <w:rPr>
          <w:rFonts w:ascii="Open Sans" w:hAnsi="Open Sans" w:cs="Open Sans"/>
          <w:bCs/>
          <w:color w:val="143C78"/>
          <w:sz w:val="22"/>
          <w:szCs w:val="22"/>
        </w:rPr>
        <w:t xml:space="preserve">Addressing concerns promptly and appropriately </w:t>
      </w:r>
    </w:p>
    <w:p w14:paraId="1113B28C" w14:textId="77777777" w:rsidR="00AF2CDF" w:rsidRPr="00AF2CDF" w:rsidRDefault="003467A6" w:rsidP="00AF2CDF">
      <w:pPr>
        <w:rPr>
          <w:rFonts w:ascii="Open Sans" w:hAnsi="Open Sans" w:cs="Open Sans"/>
          <w:b/>
          <w:color w:val="143C78"/>
        </w:rPr>
      </w:pPr>
      <w:r w:rsidRPr="00AF2CDF">
        <w:rPr>
          <w:rFonts w:ascii="Open Sans" w:hAnsi="Open Sans" w:cs="Open Sans"/>
          <w:b/>
          <w:color w:val="143C78"/>
        </w:rPr>
        <w:t xml:space="preserve">Complaints and Concerns </w:t>
      </w:r>
    </w:p>
    <w:p w14:paraId="5DC9F207" w14:textId="77777777" w:rsidR="00AF2CDF" w:rsidRDefault="003467A6" w:rsidP="00AF2CDF">
      <w:pPr>
        <w:rPr>
          <w:rFonts w:ascii="Open Sans" w:hAnsi="Open Sans" w:cs="Open Sans"/>
          <w:bCs/>
          <w:color w:val="143C78"/>
          <w:sz w:val="22"/>
          <w:szCs w:val="22"/>
        </w:rPr>
      </w:pPr>
      <w:r w:rsidRPr="00AF2CDF">
        <w:rPr>
          <w:rFonts w:ascii="Open Sans" w:hAnsi="Open Sans" w:cs="Open Sans"/>
          <w:bCs/>
          <w:color w:val="143C78"/>
          <w:sz w:val="22"/>
          <w:szCs w:val="22"/>
        </w:rPr>
        <w:t xml:space="preserve">Employees who believe they have experienced discrimination, harassment or victimisation are encouraged to raise the matter promptly via: </w:t>
      </w:r>
    </w:p>
    <w:p w14:paraId="4F01AA61" w14:textId="77777777" w:rsidR="001F66E6" w:rsidRDefault="003467A6" w:rsidP="00AF2CDF">
      <w:pPr>
        <w:pStyle w:val="ListParagraph"/>
        <w:numPr>
          <w:ilvl w:val="0"/>
          <w:numId w:val="20"/>
        </w:numPr>
        <w:rPr>
          <w:rFonts w:ascii="Open Sans" w:hAnsi="Open Sans" w:cs="Open Sans"/>
          <w:bCs/>
          <w:color w:val="143C78"/>
          <w:sz w:val="22"/>
          <w:szCs w:val="22"/>
        </w:rPr>
      </w:pPr>
      <w:r w:rsidRPr="00AF2CDF">
        <w:rPr>
          <w:rFonts w:ascii="Open Sans" w:hAnsi="Open Sans" w:cs="Open Sans"/>
          <w:bCs/>
          <w:color w:val="143C78"/>
          <w:sz w:val="22"/>
          <w:szCs w:val="22"/>
        </w:rPr>
        <w:t xml:space="preserve">Their line manager, Director or HR </w:t>
      </w:r>
    </w:p>
    <w:p w14:paraId="1C1B123C" w14:textId="7F289800" w:rsidR="001F66E6" w:rsidRDefault="00784CFB" w:rsidP="00AF2CDF">
      <w:pPr>
        <w:pStyle w:val="ListParagraph"/>
        <w:numPr>
          <w:ilvl w:val="0"/>
          <w:numId w:val="20"/>
        </w:numPr>
        <w:rPr>
          <w:rFonts w:ascii="Open Sans" w:hAnsi="Open Sans" w:cs="Open Sans"/>
          <w:bCs/>
          <w:color w:val="143C78"/>
          <w:sz w:val="22"/>
          <w:szCs w:val="22"/>
        </w:rPr>
      </w:pPr>
      <w:r>
        <w:rPr>
          <w:rFonts w:ascii="Open Sans" w:hAnsi="Open Sans" w:cs="Open Sans"/>
          <w:bCs/>
          <w:color w:val="143C78"/>
          <w:sz w:val="22"/>
          <w:szCs w:val="22"/>
        </w:rPr>
        <w:t>Sapphire Education</w:t>
      </w:r>
      <w:r w:rsidR="003467A6" w:rsidRPr="00AF2CDF">
        <w:rPr>
          <w:rFonts w:ascii="Open Sans" w:hAnsi="Open Sans" w:cs="Open Sans"/>
          <w:bCs/>
          <w:color w:val="143C78"/>
          <w:sz w:val="22"/>
          <w:szCs w:val="22"/>
        </w:rPr>
        <w:t xml:space="preserve">’s grievance procedure </w:t>
      </w:r>
    </w:p>
    <w:p w14:paraId="24C43413" w14:textId="77777777" w:rsidR="001F66E6" w:rsidRDefault="003467A6" w:rsidP="001F66E6">
      <w:pPr>
        <w:rPr>
          <w:rFonts w:ascii="Open Sans" w:hAnsi="Open Sans" w:cs="Open Sans"/>
          <w:bCs/>
          <w:color w:val="143C78"/>
          <w:sz w:val="22"/>
          <w:szCs w:val="22"/>
        </w:rPr>
      </w:pPr>
      <w:r w:rsidRPr="001F66E6">
        <w:rPr>
          <w:rFonts w:ascii="Open Sans" w:hAnsi="Open Sans" w:cs="Open Sans"/>
          <w:bCs/>
          <w:color w:val="143C78"/>
          <w:sz w:val="22"/>
          <w:szCs w:val="22"/>
        </w:rPr>
        <w:t xml:space="preserve">Complaints will be handled sensitively and confidentially, and no individual will be treated unfavourably for raising a concern in good faith. </w:t>
      </w:r>
    </w:p>
    <w:p w14:paraId="1E46B31F" w14:textId="77777777" w:rsidR="001F66E6" w:rsidRDefault="001F66E6" w:rsidP="001F66E6">
      <w:pPr>
        <w:rPr>
          <w:rFonts w:ascii="Open Sans" w:hAnsi="Open Sans" w:cs="Open Sans"/>
          <w:bCs/>
          <w:color w:val="143C78"/>
          <w:sz w:val="22"/>
          <w:szCs w:val="22"/>
        </w:rPr>
      </w:pPr>
    </w:p>
    <w:p w14:paraId="0812E8A1" w14:textId="77777777" w:rsidR="001F66E6" w:rsidRDefault="001F66E6" w:rsidP="001F66E6">
      <w:pPr>
        <w:rPr>
          <w:rFonts w:ascii="Open Sans" w:hAnsi="Open Sans" w:cs="Open Sans"/>
          <w:bCs/>
          <w:color w:val="143C78"/>
          <w:sz w:val="22"/>
          <w:szCs w:val="22"/>
        </w:rPr>
      </w:pPr>
    </w:p>
    <w:p w14:paraId="4580CDD0" w14:textId="19525EFE" w:rsidR="001F66E6" w:rsidRPr="001F66E6" w:rsidRDefault="003467A6" w:rsidP="001F66E6">
      <w:pPr>
        <w:rPr>
          <w:rFonts w:ascii="Open Sans" w:hAnsi="Open Sans" w:cs="Open Sans"/>
          <w:b/>
          <w:color w:val="143C78"/>
        </w:rPr>
      </w:pPr>
      <w:r w:rsidRPr="001F66E6">
        <w:rPr>
          <w:rFonts w:ascii="Open Sans" w:hAnsi="Open Sans" w:cs="Open Sans"/>
          <w:b/>
          <w:color w:val="143C78"/>
        </w:rPr>
        <w:lastRenderedPageBreak/>
        <w:t xml:space="preserve">Breaches of This Policy </w:t>
      </w:r>
    </w:p>
    <w:p w14:paraId="204FB411" w14:textId="77777777" w:rsidR="00784CFB" w:rsidRDefault="003467A6" w:rsidP="001F66E6">
      <w:pPr>
        <w:rPr>
          <w:rFonts w:ascii="Open Sans" w:hAnsi="Open Sans" w:cs="Open Sans"/>
          <w:bCs/>
          <w:color w:val="143C78"/>
          <w:sz w:val="22"/>
          <w:szCs w:val="22"/>
        </w:rPr>
      </w:pPr>
      <w:r w:rsidRPr="001F66E6">
        <w:rPr>
          <w:rFonts w:ascii="Open Sans" w:hAnsi="Open Sans" w:cs="Open Sans"/>
          <w:bCs/>
          <w:color w:val="143C78"/>
          <w:sz w:val="22"/>
          <w:szCs w:val="22"/>
        </w:rPr>
        <w:t xml:space="preserve">Breaches of this policy may result in disciplinary action, up to and including dismissal. Where appropriate, issues may also be reported to external bodies. </w:t>
      </w:r>
    </w:p>
    <w:p w14:paraId="37A436C5" w14:textId="77777777" w:rsidR="00784CFB" w:rsidRPr="00784CFB" w:rsidRDefault="003467A6" w:rsidP="001F66E6">
      <w:pPr>
        <w:rPr>
          <w:rFonts w:ascii="Open Sans" w:hAnsi="Open Sans" w:cs="Open Sans"/>
          <w:b/>
          <w:color w:val="143C78"/>
        </w:rPr>
      </w:pPr>
      <w:r w:rsidRPr="00784CFB">
        <w:rPr>
          <w:rFonts w:ascii="Open Sans" w:hAnsi="Open Sans" w:cs="Open Sans"/>
          <w:b/>
          <w:color w:val="143C78"/>
        </w:rPr>
        <w:t xml:space="preserve">Monitoring and Review </w:t>
      </w:r>
    </w:p>
    <w:p w14:paraId="1E8A1280" w14:textId="574D4BFC" w:rsidR="00914F8B" w:rsidRPr="00784CFB" w:rsidRDefault="003467A6" w:rsidP="00442AB4">
      <w:pPr>
        <w:rPr>
          <w:rFonts w:ascii="Open Sans" w:hAnsi="Open Sans" w:cs="Open Sans"/>
          <w:bCs/>
          <w:color w:val="143C78"/>
          <w:sz w:val="22"/>
          <w:szCs w:val="22"/>
        </w:rPr>
      </w:pPr>
      <w:r w:rsidRPr="001F66E6">
        <w:rPr>
          <w:rFonts w:ascii="Open Sans" w:hAnsi="Open Sans" w:cs="Open Sans"/>
          <w:bCs/>
          <w:color w:val="143C78"/>
          <w:sz w:val="22"/>
          <w:szCs w:val="22"/>
        </w:rPr>
        <w:t xml:space="preserve">This policy will be reviewed periodically to ensure it remains compliant with legislation and reflective of best practice. </w:t>
      </w:r>
    </w:p>
    <w:p w14:paraId="08E2075E" w14:textId="77777777" w:rsidR="00914F8B" w:rsidRDefault="00914F8B" w:rsidP="00442AB4">
      <w:pPr>
        <w:rPr>
          <w:rFonts w:ascii="Open Sans" w:hAnsi="Open Sans" w:cs="Open Sans"/>
          <w:b/>
          <w:color w:val="143C78"/>
        </w:rPr>
      </w:pPr>
    </w:p>
    <w:p w14:paraId="7EA8F7AF" w14:textId="77777777" w:rsidR="00914F8B" w:rsidRDefault="00914F8B" w:rsidP="00442AB4">
      <w:pPr>
        <w:rPr>
          <w:rFonts w:ascii="Open Sans" w:hAnsi="Open Sans" w:cs="Open Sans"/>
          <w:b/>
          <w:color w:val="143C78"/>
        </w:rPr>
      </w:pPr>
    </w:p>
    <w:p w14:paraId="325EDBD7" w14:textId="77777777" w:rsidR="00914F8B" w:rsidRPr="002D3E8B" w:rsidRDefault="00914F8B" w:rsidP="00442AB4">
      <w:pPr>
        <w:rPr>
          <w:rFonts w:ascii="Open Sans" w:hAnsi="Open Sans" w:cs="Open Sans"/>
          <w:color w:val="143C78"/>
        </w:rPr>
      </w:pPr>
    </w:p>
    <w:sectPr w:rsidR="00914F8B" w:rsidRPr="002D3E8B"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19C6" w14:textId="77777777" w:rsidR="006229B6" w:rsidRDefault="006229B6">
      <w:pPr>
        <w:spacing w:after="0" w:line="240" w:lineRule="auto"/>
      </w:pPr>
      <w:r>
        <w:separator/>
      </w:r>
    </w:p>
  </w:endnote>
  <w:endnote w:type="continuationSeparator" w:id="0">
    <w:p w14:paraId="5A66631A" w14:textId="77777777" w:rsidR="006229B6" w:rsidRDefault="0062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C4F86BE-09A7-4670-BAE2-ABD92A7CC4DD}"/>
  </w:font>
  <w:font w:name="Merriweather">
    <w:charset w:val="00"/>
    <w:family w:val="auto"/>
    <w:pitch w:val="variable"/>
    <w:sig w:usb0="20000207" w:usb1="00000002" w:usb2="00000000" w:usb3="00000000" w:csb0="00000197" w:csb1="00000000"/>
    <w:embedRegular r:id="rId2" w:fontKey="{0FE8C10F-A4E6-4E7A-AFE1-250636D69904}"/>
    <w:embedBold r:id="rId3" w:fontKey="{2F876DDA-02E7-4BBA-AE81-6BF4B2BCEA34}"/>
  </w:font>
  <w:font w:name="Open Sans">
    <w:charset w:val="00"/>
    <w:family w:val="swiss"/>
    <w:pitch w:val="variable"/>
    <w:sig w:usb0="E00002EF" w:usb1="4000205B" w:usb2="00000028" w:usb3="00000000" w:csb0="0000019F" w:csb1="00000000"/>
    <w:embedRegular r:id="rId4" w:fontKey="{24CAE8C4-6FEF-40A2-935F-8734E4E1CAB3}"/>
    <w:embedBold r:id="rId5" w:fontKey="{3E401851-CE3A-4551-B398-F43E5A7219FF}"/>
  </w:font>
  <w:font w:name="Aptos Display">
    <w:charset w:val="00"/>
    <w:family w:val="swiss"/>
    <w:pitch w:val="variable"/>
    <w:sig w:usb0="20000287" w:usb1="00000003" w:usb2="00000000" w:usb3="00000000" w:csb0="0000019F" w:csb1="00000000"/>
    <w:embedRegular r:id="rId6" w:fontKey="{00FDAB05-BEC5-4693-AF91-2BCAD992752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4570" w14:textId="77777777" w:rsidR="006229B6" w:rsidRDefault="006229B6">
      <w:pPr>
        <w:spacing w:after="0" w:line="240" w:lineRule="auto"/>
      </w:pPr>
      <w:r>
        <w:separator/>
      </w:r>
    </w:p>
  </w:footnote>
  <w:footnote w:type="continuationSeparator" w:id="0">
    <w:p w14:paraId="43B0A801" w14:textId="77777777" w:rsidR="006229B6" w:rsidRDefault="0062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503C"/>
    <w:multiLevelType w:val="multilevel"/>
    <w:tmpl w:val="C51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A7A65"/>
    <w:multiLevelType w:val="hybridMultilevel"/>
    <w:tmpl w:val="75D6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22C9"/>
    <w:multiLevelType w:val="hybridMultilevel"/>
    <w:tmpl w:val="4956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D7B68"/>
    <w:multiLevelType w:val="multilevel"/>
    <w:tmpl w:val="255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3231E"/>
    <w:multiLevelType w:val="hybridMultilevel"/>
    <w:tmpl w:val="E9C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4751A"/>
    <w:multiLevelType w:val="hybridMultilevel"/>
    <w:tmpl w:val="855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14B04"/>
    <w:multiLevelType w:val="hybridMultilevel"/>
    <w:tmpl w:val="246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62AA5"/>
    <w:multiLevelType w:val="hybridMultilevel"/>
    <w:tmpl w:val="68A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46C62"/>
    <w:multiLevelType w:val="multilevel"/>
    <w:tmpl w:val="744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75CFA"/>
    <w:multiLevelType w:val="multilevel"/>
    <w:tmpl w:val="5E3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221C8"/>
    <w:multiLevelType w:val="multilevel"/>
    <w:tmpl w:val="77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719B1"/>
    <w:multiLevelType w:val="hybridMultilevel"/>
    <w:tmpl w:val="C6AA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D1F11"/>
    <w:multiLevelType w:val="hybridMultilevel"/>
    <w:tmpl w:val="0A30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41DAB"/>
    <w:multiLevelType w:val="hybridMultilevel"/>
    <w:tmpl w:val="A94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C68E6"/>
    <w:multiLevelType w:val="hybridMultilevel"/>
    <w:tmpl w:val="35E0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74217"/>
    <w:multiLevelType w:val="multilevel"/>
    <w:tmpl w:val="401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F6B64"/>
    <w:multiLevelType w:val="multilevel"/>
    <w:tmpl w:val="76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EC6D8A"/>
    <w:multiLevelType w:val="hybridMultilevel"/>
    <w:tmpl w:val="529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377B0"/>
    <w:multiLevelType w:val="hybridMultilevel"/>
    <w:tmpl w:val="F03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641">
    <w:abstractNumId w:val="0"/>
  </w:num>
  <w:num w:numId="2" w16cid:durableId="439254629">
    <w:abstractNumId w:val="4"/>
  </w:num>
  <w:num w:numId="3" w16cid:durableId="2141485916">
    <w:abstractNumId w:val="11"/>
  </w:num>
  <w:num w:numId="4" w16cid:durableId="829490547">
    <w:abstractNumId w:val="9"/>
  </w:num>
  <w:num w:numId="5" w16cid:durableId="1436171487">
    <w:abstractNumId w:val="1"/>
  </w:num>
  <w:num w:numId="6" w16cid:durableId="919827789">
    <w:abstractNumId w:val="17"/>
  </w:num>
  <w:num w:numId="7" w16cid:durableId="6715171">
    <w:abstractNumId w:val="16"/>
  </w:num>
  <w:num w:numId="8" w16cid:durableId="533075189">
    <w:abstractNumId w:val="10"/>
  </w:num>
  <w:num w:numId="9" w16cid:durableId="867985807">
    <w:abstractNumId w:val="13"/>
  </w:num>
  <w:num w:numId="10" w16cid:durableId="601259350">
    <w:abstractNumId w:val="3"/>
  </w:num>
  <w:num w:numId="11" w16cid:durableId="756705606">
    <w:abstractNumId w:val="19"/>
  </w:num>
  <w:num w:numId="12" w16cid:durableId="1726563806">
    <w:abstractNumId w:val="5"/>
  </w:num>
  <w:num w:numId="13" w16cid:durableId="508183667">
    <w:abstractNumId w:val="7"/>
  </w:num>
  <w:num w:numId="14" w16cid:durableId="437993116">
    <w:abstractNumId w:val="6"/>
  </w:num>
  <w:num w:numId="15" w16cid:durableId="1464732328">
    <w:abstractNumId w:val="18"/>
  </w:num>
  <w:num w:numId="16" w16cid:durableId="1787310642">
    <w:abstractNumId w:val="15"/>
  </w:num>
  <w:num w:numId="17" w16cid:durableId="1316103865">
    <w:abstractNumId w:val="12"/>
  </w:num>
  <w:num w:numId="18" w16cid:durableId="549071975">
    <w:abstractNumId w:val="2"/>
  </w:num>
  <w:num w:numId="19" w16cid:durableId="1194536107">
    <w:abstractNumId w:val="14"/>
  </w:num>
  <w:num w:numId="20" w16cid:durableId="204513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A4A39"/>
    <w:rsid w:val="000B493F"/>
    <w:rsid w:val="000F596C"/>
    <w:rsid w:val="001039FC"/>
    <w:rsid w:val="00140976"/>
    <w:rsid w:val="00152D27"/>
    <w:rsid w:val="001641FD"/>
    <w:rsid w:val="00174921"/>
    <w:rsid w:val="00184DE3"/>
    <w:rsid w:val="00186002"/>
    <w:rsid w:val="001B2ECC"/>
    <w:rsid w:val="001C1428"/>
    <w:rsid w:val="001F66E6"/>
    <w:rsid w:val="00223C74"/>
    <w:rsid w:val="00242D40"/>
    <w:rsid w:val="0028346C"/>
    <w:rsid w:val="002B12DA"/>
    <w:rsid w:val="002C3FA5"/>
    <w:rsid w:val="002D3E8B"/>
    <w:rsid w:val="002F0797"/>
    <w:rsid w:val="002F64E2"/>
    <w:rsid w:val="00322C23"/>
    <w:rsid w:val="0034588D"/>
    <w:rsid w:val="003467A6"/>
    <w:rsid w:val="00362D66"/>
    <w:rsid w:val="00367D51"/>
    <w:rsid w:val="00391AD7"/>
    <w:rsid w:val="003B628E"/>
    <w:rsid w:val="003C3BC4"/>
    <w:rsid w:val="003E026C"/>
    <w:rsid w:val="003E27C0"/>
    <w:rsid w:val="00420042"/>
    <w:rsid w:val="004339C6"/>
    <w:rsid w:val="00442AB4"/>
    <w:rsid w:val="00454356"/>
    <w:rsid w:val="0046455F"/>
    <w:rsid w:val="00476FBA"/>
    <w:rsid w:val="00477238"/>
    <w:rsid w:val="004E67DA"/>
    <w:rsid w:val="00536C94"/>
    <w:rsid w:val="0054279E"/>
    <w:rsid w:val="00545EDE"/>
    <w:rsid w:val="005469B9"/>
    <w:rsid w:val="00552EEE"/>
    <w:rsid w:val="00560491"/>
    <w:rsid w:val="00561E1E"/>
    <w:rsid w:val="00587851"/>
    <w:rsid w:val="0059719E"/>
    <w:rsid w:val="005B65D8"/>
    <w:rsid w:val="005E0C6A"/>
    <w:rsid w:val="00604CC1"/>
    <w:rsid w:val="00620B33"/>
    <w:rsid w:val="006229B6"/>
    <w:rsid w:val="00627525"/>
    <w:rsid w:val="006431CA"/>
    <w:rsid w:val="006513A3"/>
    <w:rsid w:val="006823E8"/>
    <w:rsid w:val="006845CA"/>
    <w:rsid w:val="006D7EBE"/>
    <w:rsid w:val="006E5FFF"/>
    <w:rsid w:val="007017A4"/>
    <w:rsid w:val="00704058"/>
    <w:rsid w:val="007054D5"/>
    <w:rsid w:val="00711922"/>
    <w:rsid w:val="00780EC0"/>
    <w:rsid w:val="00784CFB"/>
    <w:rsid w:val="007A7BF2"/>
    <w:rsid w:val="007C35DF"/>
    <w:rsid w:val="007E0B53"/>
    <w:rsid w:val="00820034"/>
    <w:rsid w:val="008355C5"/>
    <w:rsid w:val="008D51CE"/>
    <w:rsid w:val="008E21E0"/>
    <w:rsid w:val="008E7227"/>
    <w:rsid w:val="008F2531"/>
    <w:rsid w:val="00914F8B"/>
    <w:rsid w:val="00936D46"/>
    <w:rsid w:val="009971A7"/>
    <w:rsid w:val="009A6C42"/>
    <w:rsid w:val="009B6E05"/>
    <w:rsid w:val="009C158E"/>
    <w:rsid w:val="009D454A"/>
    <w:rsid w:val="009E029C"/>
    <w:rsid w:val="009F501E"/>
    <w:rsid w:val="00A06980"/>
    <w:rsid w:val="00A13688"/>
    <w:rsid w:val="00A27D0C"/>
    <w:rsid w:val="00A33CAE"/>
    <w:rsid w:val="00A40BD8"/>
    <w:rsid w:val="00A41940"/>
    <w:rsid w:val="00AA23EC"/>
    <w:rsid w:val="00AB1277"/>
    <w:rsid w:val="00AC02F5"/>
    <w:rsid w:val="00AC2190"/>
    <w:rsid w:val="00AE107A"/>
    <w:rsid w:val="00AF2CDF"/>
    <w:rsid w:val="00AF3347"/>
    <w:rsid w:val="00B64515"/>
    <w:rsid w:val="00BA0917"/>
    <w:rsid w:val="00BC6D27"/>
    <w:rsid w:val="00BE3764"/>
    <w:rsid w:val="00C23CA6"/>
    <w:rsid w:val="00C33C33"/>
    <w:rsid w:val="00C358A9"/>
    <w:rsid w:val="00CE5381"/>
    <w:rsid w:val="00CF2B7E"/>
    <w:rsid w:val="00D03AA0"/>
    <w:rsid w:val="00D26F56"/>
    <w:rsid w:val="00D44CEA"/>
    <w:rsid w:val="00D71776"/>
    <w:rsid w:val="00D8779C"/>
    <w:rsid w:val="00DA09AB"/>
    <w:rsid w:val="00E356B9"/>
    <w:rsid w:val="00E56E20"/>
    <w:rsid w:val="00E6173A"/>
    <w:rsid w:val="00E64CE7"/>
    <w:rsid w:val="00E82CD1"/>
    <w:rsid w:val="00E93D86"/>
    <w:rsid w:val="00E94563"/>
    <w:rsid w:val="00ED4BB8"/>
    <w:rsid w:val="00EE10F2"/>
    <w:rsid w:val="00F32BA8"/>
    <w:rsid w:val="00F4238A"/>
    <w:rsid w:val="00FA2FC7"/>
    <w:rsid w:val="00FD0337"/>
    <w:rsid w:val="00FD0569"/>
    <w:rsid w:val="00FD05C0"/>
    <w:rsid w:val="00FD653D"/>
    <w:rsid w:val="00FE0091"/>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20</cp:revision>
  <dcterms:created xsi:type="dcterms:W3CDTF">2026-06-08T12:51:00Z</dcterms:created>
  <dcterms:modified xsi:type="dcterms:W3CDTF">2026-06-08T13:05:00Z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